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9DC" w:rsidRDefault="009D19DC" w:rsidP="009D372E">
      <w:pPr>
        <w:shd w:val="clear" w:color="auto" w:fill="FFFFFF"/>
        <w:spacing w:after="0" w:line="270" w:lineRule="atLeast"/>
        <w:jc w:val="center"/>
        <w:outlineLvl w:val="0"/>
        <w:rPr>
          <w:rFonts w:ascii="Times New Roman" w:eastAsia="Times New Roman" w:hAnsi="Times New Roman" w:cs="Times New Roman"/>
          <w:b/>
          <w:bCs/>
          <w:color w:val="FA6900"/>
          <w:kern w:val="36"/>
          <w:sz w:val="28"/>
          <w:szCs w:val="28"/>
        </w:rPr>
      </w:pPr>
      <w:r>
        <w:rPr>
          <w:rFonts w:ascii="Times New Roman" w:eastAsia="Times New Roman" w:hAnsi="Times New Roman" w:cs="Times New Roman"/>
          <w:b/>
          <w:bCs/>
          <w:color w:val="FA6900"/>
          <w:kern w:val="36"/>
          <w:sz w:val="28"/>
          <w:szCs w:val="28"/>
        </w:rPr>
        <w:t xml:space="preserve">ỨNG DỤNG CÔNG NGHỆ THÔNG TIN VÀ TRUYỀN THÔNG </w:t>
      </w:r>
    </w:p>
    <w:p w:rsidR="009D19DC" w:rsidRDefault="009D19DC" w:rsidP="009D372E">
      <w:pPr>
        <w:shd w:val="clear" w:color="auto" w:fill="FFFFFF"/>
        <w:spacing w:after="0" w:line="270" w:lineRule="atLeast"/>
        <w:jc w:val="center"/>
        <w:outlineLvl w:val="0"/>
        <w:rPr>
          <w:rFonts w:ascii="Times New Roman" w:eastAsia="Times New Roman" w:hAnsi="Times New Roman" w:cs="Times New Roman"/>
          <w:b/>
          <w:bCs/>
          <w:color w:val="FA6900"/>
          <w:kern w:val="36"/>
          <w:sz w:val="28"/>
          <w:szCs w:val="28"/>
        </w:rPr>
      </w:pPr>
      <w:r>
        <w:rPr>
          <w:rFonts w:ascii="Times New Roman" w:eastAsia="Times New Roman" w:hAnsi="Times New Roman" w:cs="Times New Roman"/>
          <w:b/>
          <w:bCs/>
          <w:color w:val="FA6900"/>
          <w:kern w:val="36"/>
          <w:sz w:val="28"/>
          <w:szCs w:val="28"/>
        </w:rPr>
        <w:t xml:space="preserve">VÀO QUẢN LÝ HỌC SINH SINH VIÊN GÓP PHẦN NÂNG CAO HIỆU QUẢ </w:t>
      </w:r>
    </w:p>
    <w:p w:rsidR="009D372E" w:rsidRDefault="009D19DC" w:rsidP="009D372E">
      <w:pPr>
        <w:shd w:val="clear" w:color="auto" w:fill="FFFFFF"/>
        <w:spacing w:after="0" w:line="270" w:lineRule="atLeast"/>
        <w:jc w:val="center"/>
        <w:outlineLvl w:val="0"/>
        <w:rPr>
          <w:rFonts w:ascii="Times New Roman" w:eastAsia="Times New Roman" w:hAnsi="Times New Roman" w:cs="Times New Roman"/>
          <w:b/>
          <w:bCs/>
          <w:color w:val="FA6900"/>
          <w:kern w:val="36"/>
          <w:sz w:val="28"/>
          <w:szCs w:val="28"/>
        </w:rPr>
      </w:pPr>
      <w:r>
        <w:rPr>
          <w:rFonts w:ascii="Times New Roman" w:eastAsia="Times New Roman" w:hAnsi="Times New Roman" w:cs="Times New Roman"/>
          <w:b/>
          <w:bCs/>
          <w:color w:val="FA6900"/>
          <w:kern w:val="36"/>
          <w:sz w:val="28"/>
          <w:szCs w:val="28"/>
        </w:rPr>
        <w:t>CÔNG TÁC QUẢN TRỊ TRONG NHÀ TRƯỜNG</w:t>
      </w:r>
    </w:p>
    <w:p w:rsidR="009D372E" w:rsidRDefault="009D372E" w:rsidP="000A61DA">
      <w:pPr>
        <w:shd w:val="clear" w:color="auto" w:fill="FFFFFF"/>
        <w:spacing w:after="0" w:line="270" w:lineRule="atLeast"/>
        <w:outlineLvl w:val="0"/>
        <w:rPr>
          <w:rFonts w:ascii="Times New Roman" w:eastAsia="Times New Roman" w:hAnsi="Times New Roman" w:cs="Times New Roman"/>
          <w:b/>
          <w:bCs/>
          <w:color w:val="FA6900"/>
          <w:kern w:val="36"/>
          <w:sz w:val="28"/>
          <w:szCs w:val="28"/>
        </w:rPr>
      </w:pPr>
    </w:p>
    <w:p w:rsidR="0049426D" w:rsidRPr="00302E7B" w:rsidRDefault="0049426D" w:rsidP="008B0F1B">
      <w:pPr>
        <w:pStyle w:val="NormalWeb"/>
        <w:spacing w:before="120" w:beforeAutospacing="0" w:after="120" w:afterAutospacing="0"/>
        <w:rPr>
          <w:color w:val="3F3F3F"/>
          <w:sz w:val="28"/>
          <w:szCs w:val="28"/>
        </w:rPr>
      </w:pPr>
      <w:r w:rsidRPr="00302E7B">
        <w:rPr>
          <w:rStyle w:val="Strong"/>
          <w:color w:val="3F3F3F"/>
          <w:sz w:val="28"/>
          <w:szCs w:val="28"/>
        </w:rPr>
        <w:t>Không giới hạn không gian và thời gian</w:t>
      </w:r>
    </w:p>
    <w:p w:rsidR="0049426D" w:rsidRPr="00302E7B" w:rsidRDefault="0049426D" w:rsidP="008B0F1B">
      <w:pPr>
        <w:pStyle w:val="NormalWeb"/>
        <w:spacing w:before="120" w:beforeAutospacing="0" w:after="120" w:afterAutospacing="0"/>
        <w:rPr>
          <w:color w:val="3F3F3F"/>
          <w:sz w:val="28"/>
          <w:szCs w:val="28"/>
        </w:rPr>
      </w:pPr>
      <w:r w:rsidRPr="00302E7B">
        <w:rPr>
          <w:color w:val="3F3F3F"/>
          <w:sz w:val="28"/>
          <w:szCs w:val="28"/>
        </w:rPr>
        <w:t>Được thiết kế để sử dụng mọi lúc mọi nơi trên mọi thiết bị như: điện thoại thông minh, máy tính bảng hay máy tính, những buổi học không còn bị bó hẹp trong phạm vi trường lớp. </w:t>
      </w:r>
      <w:r w:rsidRPr="00302E7B">
        <w:rPr>
          <w:color w:val="3F3F3F"/>
          <w:sz w:val="28"/>
          <w:szCs w:val="28"/>
        </w:rPr>
        <w:br/>
        <w:t>Nhờ vào việc được cung cấp trên nền tảng điện toán đám mây, ứng dụng học tập này có thể đáp ứng đông đảo mọi nhu cầu và mô hình học tập khác nhau, từ một vài học viên đến hàng chục lớp học quy mô lớn trong cùng thời điểm.</w:t>
      </w:r>
    </w:p>
    <w:p w:rsidR="0049426D" w:rsidRPr="00302E7B" w:rsidRDefault="0049426D" w:rsidP="008B0F1B">
      <w:pPr>
        <w:pStyle w:val="NormalWeb"/>
        <w:spacing w:before="120" w:beforeAutospacing="0" w:after="120" w:afterAutospacing="0"/>
        <w:rPr>
          <w:color w:val="3F3F3F"/>
          <w:sz w:val="28"/>
          <w:szCs w:val="28"/>
        </w:rPr>
      </w:pPr>
      <w:r w:rsidRPr="00302E7B">
        <w:rPr>
          <w:color w:val="3F3F3F"/>
          <w:sz w:val="28"/>
          <w:szCs w:val="28"/>
        </w:rPr>
        <w:t>Mỗi học viên được cung cấp một tài khoản riêng để truy cập hàng nghìn bài giảng của giảng viên bất cứ lúc nào, tại bất cứ đâu. Nhờ vào tính năng cho phép tự ôn luyện, tự chấm điểm, đánh giá năng lực bản thân ngay cả khi rời lớp học, Goocus đã thực sự tạo nên một không gian học “mở” lí tưởng dành cho học viên.</w:t>
      </w:r>
    </w:p>
    <w:p w:rsidR="0049426D" w:rsidRPr="00302E7B" w:rsidRDefault="0049426D" w:rsidP="008B0F1B">
      <w:pPr>
        <w:pStyle w:val="NormalWeb"/>
        <w:spacing w:before="120" w:beforeAutospacing="0" w:after="120" w:afterAutospacing="0"/>
        <w:rPr>
          <w:color w:val="3F3F3F"/>
          <w:sz w:val="28"/>
          <w:szCs w:val="28"/>
        </w:rPr>
      </w:pPr>
      <w:r w:rsidRPr="00302E7B">
        <w:rPr>
          <w:rStyle w:val="Strong"/>
          <w:color w:val="3F3F3F"/>
          <w:sz w:val="28"/>
          <w:szCs w:val="28"/>
        </w:rPr>
        <w:t>Môi trường học tập thân thiện và linh hoạt</w:t>
      </w:r>
    </w:p>
    <w:p w:rsidR="0049426D" w:rsidRPr="00302E7B" w:rsidRDefault="0049426D" w:rsidP="008B0F1B">
      <w:pPr>
        <w:pStyle w:val="NormalWeb"/>
        <w:spacing w:before="120" w:beforeAutospacing="0" w:after="120" w:afterAutospacing="0"/>
        <w:rPr>
          <w:color w:val="3F3F3F"/>
          <w:sz w:val="28"/>
          <w:szCs w:val="28"/>
        </w:rPr>
      </w:pPr>
      <w:r w:rsidRPr="00302E7B">
        <w:rPr>
          <w:color w:val="3F3F3F"/>
          <w:sz w:val="28"/>
          <w:szCs w:val="28"/>
        </w:rPr>
        <w:t>Với nỗ lực mang đến cho người dùng một môi trường học tập hoàn hảo nhất, có tính năng tìm kiếm bạn bè/ đồng nghiệp ngay trên ứng dụng để cùng ôn luyện hay trao đổi bài vở. Tính năng này giúp tăng cường tối đa giao tiếp giữa các thành viên khiến cho việc học tập trở nên hiệu quả hơn và thân thiện hơn. </w:t>
      </w:r>
    </w:p>
    <w:p w:rsidR="0049426D" w:rsidRPr="00302E7B" w:rsidRDefault="0049426D" w:rsidP="008B0F1B">
      <w:pPr>
        <w:pStyle w:val="NormalWeb"/>
        <w:spacing w:before="120" w:beforeAutospacing="0" w:after="120" w:afterAutospacing="0"/>
        <w:rPr>
          <w:color w:val="3F3F3F"/>
          <w:sz w:val="28"/>
          <w:szCs w:val="28"/>
        </w:rPr>
      </w:pPr>
      <w:r w:rsidRPr="00302E7B">
        <w:rPr>
          <w:color w:val="3F3F3F"/>
          <w:sz w:val="28"/>
          <w:szCs w:val="28"/>
        </w:rPr>
        <w:t>Ngoài ra cũng hỗ trợ tối đa giảng viên trong công tác giảng dạy và quản lý học viên. Với giao diện được thiết kế thân thiện và dễ sử dụng, thông qua tài khoản của mình, giảng viên hoàn toàn chủ động trong việc cập nhật bài g</w:t>
      </w:r>
      <w:bookmarkStart w:id="0" w:name="_GoBack"/>
      <w:bookmarkEnd w:id="0"/>
      <w:r w:rsidRPr="00302E7B">
        <w:rPr>
          <w:color w:val="3F3F3F"/>
          <w:sz w:val="28"/>
          <w:szCs w:val="28"/>
        </w:rPr>
        <w:t>iảng lên hệ thống dưới nhiều định dạng khác nhau: như hình ảnh, file âm thanh, hay video…Tính năng đẩy thông báo  trên cũng là một công cụ đắc lực của giảng viên trong việc nhắc nhở học viên ôn luyện bài vở, hoàn thành khóa học của mình.</w:t>
      </w:r>
    </w:p>
    <w:p w:rsidR="0049426D" w:rsidRPr="00302E7B" w:rsidRDefault="0049426D" w:rsidP="008B0F1B">
      <w:pPr>
        <w:spacing w:before="120" w:after="120" w:line="240" w:lineRule="auto"/>
        <w:jc w:val="center"/>
        <w:rPr>
          <w:rFonts w:ascii="Times New Roman" w:hAnsi="Times New Roman" w:cs="Times New Roman"/>
          <w:color w:val="3F3F3F"/>
          <w:sz w:val="28"/>
          <w:szCs w:val="28"/>
        </w:rPr>
      </w:pPr>
    </w:p>
    <w:p w:rsidR="0049426D" w:rsidRPr="00302E7B" w:rsidRDefault="0049426D" w:rsidP="008B0F1B">
      <w:pPr>
        <w:pStyle w:val="NormalWeb"/>
        <w:spacing w:before="120" w:beforeAutospacing="0" w:after="120" w:afterAutospacing="0"/>
        <w:rPr>
          <w:b/>
          <w:iCs/>
          <w:color w:val="3F3F3F"/>
          <w:sz w:val="28"/>
          <w:szCs w:val="28"/>
        </w:rPr>
      </w:pPr>
      <w:r w:rsidRPr="00302E7B">
        <w:rPr>
          <w:b/>
          <w:iCs/>
          <w:color w:val="3F3F3F"/>
          <w:sz w:val="28"/>
          <w:szCs w:val="28"/>
        </w:rPr>
        <w:t>Phụ huynh có thể giám sát quá trình, kết quả học tập của con ngay trên ứng dụng này. </w:t>
      </w:r>
    </w:p>
    <w:p w:rsidR="0049426D" w:rsidRPr="00302E7B" w:rsidRDefault="0049426D" w:rsidP="008B0F1B">
      <w:pPr>
        <w:pStyle w:val="NormalWeb"/>
        <w:spacing w:before="120" w:beforeAutospacing="0" w:after="120" w:afterAutospacing="0"/>
        <w:rPr>
          <w:color w:val="3F3F3F"/>
          <w:sz w:val="28"/>
          <w:szCs w:val="28"/>
        </w:rPr>
      </w:pPr>
      <w:r w:rsidRPr="00302E7B">
        <w:rPr>
          <w:color w:val="3F3F3F"/>
          <w:sz w:val="28"/>
          <w:szCs w:val="28"/>
        </w:rPr>
        <w:t>Phụ huynh học sinh có thể sử dụng chính tài khoản của các con được cấp để giám sát quá trình học tập và kết quả học tập của trẻ, qua đó có thể phối hợp với thầy cô giáo để nâng cao hiệu quả học tập của các con.</w:t>
      </w:r>
    </w:p>
    <w:p w:rsidR="0049426D" w:rsidRPr="00302E7B" w:rsidRDefault="0049426D" w:rsidP="008B0F1B">
      <w:pPr>
        <w:spacing w:before="120" w:after="120" w:line="240" w:lineRule="auto"/>
        <w:outlineLvl w:val="0"/>
        <w:rPr>
          <w:rFonts w:ascii="Times New Roman" w:eastAsia="Times New Roman" w:hAnsi="Times New Roman" w:cs="Times New Roman"/>
          <w:b/>
          <w:bCs/>
          <w:color w:val="FA6900"/>
          <w:kern w:val="36"/>
          <w:sz w:val="28"/>
          <w:szCs w:val="28"/>
        </w:rPr>
      </w:pPr>
    </w:p>
    <w:p w:rsidR="00F6295E" w:rsidRPr="00302E7B" w:rsidRDefault="000A61DA" w:rsidP="008B0F1B">
      <w:pPr>
        <w:spacing w:before="120" w:after="120" w:line="240" w:lineRule="auto"/>
        <w:jc w:val="both"/>
        <w:rPr>
          <w:rFonts w:ascii="Times New Roman" w:eastAsia="Times New Roman" w:hAnsi="Times New Roman" w:cs="Times New Roman"/>
          <w:b/>
          <w:bCs/>
          <w:color w:val="000000"/>
          <w:sz w:val="28"/>
          <w:szCs w:val="28"/>
        </w:rPr>
      </w:pPr>
      <w:r w:rsidRPr="00302E7B">
        <w:rPr>
          <w:rFonts w:ascii="Times New Roman" w:eastAsia="Times New Roman" w:hAnsi="Times New Roman" w:cs="Times New Roman"/>
          <w:b/>
          <w:bCs/>
          <w:color w:val="000000"/>
          <w:sz w:val="28"/>
          <w:szCs w:val="28"/>
        </w:rPr>
        <w:t>Trước làn sóng bùng nổ của cách mạng công nghiệp 4.0, cùng với mong muốn tăng cường áp dụng công nghệ trong các hoạt động giảng dạy,.</w:t>
      </w:r>
    </w:p>
    <w:p w:rsidR="000A61DA" w:rsidRPr="00302E7B" w:rsidRDefault="000A61DA" w:rsidP="008B0F1B">
      <w:pPr>
        <w:spacing w:before="120" w:after="120" w:line="240" w:lineRule="auto"/>
        <w:jc w:val="both"/>
        <w:rPr>
          <w:rFonts w:ascii="Times New Roman" w:eastAsia="Times New Roman" w:hAnsi="Times New Roman" w:cs="Times New Roman"/>
          <w:color w:val="333333"/>
          <w:sz w:val="28"/>
          <w:szCs w:val="28"/>
        </w:rPr>
      </w:pPr>
      <w:r w:rsidRPr="00302E7B">
        <w:rPr>
          <w:rFonts w:ascii="Times New Roman" w:eastAsia="Times New Roman" w:hAnsi="Times New Roman" w:cs="Times New Roman"/>
          <w:color w:val="000000"/>
          <w:sz w:val="28"/>
          <w:szCs w:val="28"/>
        </w:rPr>
        <w:t xml:space="preserve">Theo các chuyên gia, cuộc cách mạng công nghiệp 4.0 đang thực sự làm biến đổi thế giới. Giáo dục cũng chịu sự tác động sâu sắc từ những biến đổi này. Sự xuất hiện các công nghệ mới đòi hỏi xu hướng trường học ứng dụng đang được xem là mô hình tối ưu của nền giáo dục nhằm đáp ứng yêu cầu của thời đại 4.0. Ở đó, việc thúc đẩy ứng dụng công nghệ hiện đại sẽ góp phần đem tới những thay đổi triệt để trong phương pháp dạy và học. Áp dụng CNTT trong </w:t>
      </w:r>
      <w:r w:rsidRPr="00302E7B">
        <w:rPr>
          <w:rFonts w:ascii="Times New Roman" w:eastAsia="Times New Roman" w:hAnsi="Times New Roman" w:cs="Times New Roman"/>
          <w:color w:val="000000"/>
          <w:sz w:val="28"/>
          <w:szCs w:val="28"/>
        </w:rPr>
        <w:lastRenderedPageBreak/>
        <w:t>việc hỗ trợ, nâng cao chất lượng dạy và học là xu hướng tất yếu của giáo dục trong thời đại cách mạng công nghệ 4.0.</w:t>
      </w:r>
    </w:p>
    <w:p w:rsidR="000A61DA" w:rsidRPr="00302E7B" w:rsidRDefault="000A61DA" w:rsidP="00302E7B">
      <w:pPr>
        <w:shd w:val="clear" w:color="auto" w:fill="FFFFFF"/>
        <w:spacing w:before="120" w:after="120" w:line="240" w:lineRule="auto"/>
        <w:jc w:val="center"/>
        <w:rPr>
          <w:rFonts w:ascii="Times New Roman" w:eastAsia="Times New Roman" w:hAnsi="Times New Roman" w:cs="Times New Roman"/>
          <w:color w:val="333333"/>
          <w:sz w:val="28"/>
          <w:szCs w:val="28"/>
        </w:rPr>
      </w:pPr>
      <w:r w:rsidRPr="00302E7B">
        <w:rPr>
          <w:rFonts w:ascii="Times New Roman" w:eastAsia="Times New Roman" w:hAnsi="Times New Roman" w:cs="Times New Roman"/>
          <w:color w:val="333333"/>
          <w:sz w:val="28"/>
          <w:szCs w:val="28"/>
        </w:rPr>
        <w:t> </w:t>
      </w:r>
    </w:p>
    <w:p w:rsidR="00F6295E" w:rsidRPr="00302E7B" w:rsidRDefault="000A61DA"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Thấu hiểu những nhu cầu của xu thế học tập và đào tạo thời 4.0, mới đây, Trường Đại học Đại Nam đã ký kết Biên bản hợp tác cung cấp giải pháp đào tạo E-learning Goocus với Công ty CP Công nghệ OCG với mục tiêu đẩy mạnh ứng dụng CNTT trong việc dạy và học; đào tạo nguồn nhân lực chất lượng cao đáp ứng nhu cầu của xã hội; đạt được những thành tựu quan trọng về nghiên cứu khoa học, sáng tạo và chuyển giao công nghệ của nhà trường. Với thỏa thuận hợp tác này, công ty CP Công nghệ OCG là đơn vị hợp tác giữa VNPT và NTT Vietnam Corporation, chuyên cung cấp các giải pháp công nghệ đa nền tảng vì lợi ích cộng đồng sẽ là đơn vị cung cấp </w:t>
      </w:r>
      <w:r w:rsidRPr="00302E7B">
        <w:rPr>
          <w:rFonts w:ascii="Times New Roman" w:eastAsia="Times New Roman" w:hAnsi="Times New Roman" w:cs="Times New Roman"/>
          <w:color w:val="FF0000"/>
          <w:sz w:val="28"/>
          <w:szCs w:val="28"/>
        </w:rPr>
        <w:t xml:space="preserve">giải pháp quản lý học tập thông minh </w:t>
      </w:r>
      <w:r w:rsidRPr="00302E7B">
        <w:rPr>
          <w:rFonts w:ascii="Times New Roman" w:eastAsia="Times New Roman" w:hAnsi="Times New Roman" w:cs="Times New Roman"/>
          <w:color w:val="000000"/>
          <w:sz w:val="28"/>
          <w:szCs w:val="28"/>
        </w:rPr>
        <w:t>Goocus cho nhà trường.</w:t>
      </w:r>
    </w:p>
    <w:p w:rsidR="000A61DA" w:rsidRPr="00302E7B" w:rsidRDefault="000A61DA"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Niềm tin, sự kỳ vọng được TS. Lê Đắc Sơn - Chủ tịch HĐQT Trường ĐH Đại Nam đặt ra thông qua việc ký kết này: “Đây sẽ là bước đệm quan trọng giúp Đại học Đại Nam gặt hái được những thành tựu to lớn trong đào tạo, nghiên cứu khoa học và chuyển giao công nghệ…”, cũng chính là sự kỳ vọng vào việc ứng dụng giải pháp học tập thông minh Goocus, khi nhà trường hiện đang đặc biệt chú trọng đến đào tạo E-learning. Bởi trên thực tế, nếu như việc áp dụng các công nghệ tiên tiến vào mỗi bài giảng trên lớp học hay giảng đường vốn đã được đánh giá là bước đột phá trong việc đào tạo, thì với ứng dụng học Goocus, những trải nghiệm khác biệt, tiện ích còn nhiều hơn thế…</w:t>
      </w:r>
    </w:p>
    <w:p w:rsidR="000A61DA" w:rsidRPr="00302E7B" w:rsidRDefault="000A61DA" w:rsidP="00302E7B">
      <w:pPr>
        <w:shd w:val="clear" w:color="auto" w:fill="FFFFFF"/>
        <w:spacing w:before="120" w:after="120" w:line="240" w:lineRule="auto"/>
        <w:jc w:val="center"/>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br/>
      </w:r>
    </w:p>
    <w:p w:rsidR="00C95D0A" w:rsidRPr="00302E7B" w:rsidRDefault="000A61DA"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Là giải pháp học tập thông minh đến từ Nhật Bản - một trong những đất nước có nền giáo dục tiên tiến nhất trên thế giới hiện nay, Goocus được đánh giá là sự lựa chọn hoàn hảo cho việc học tập và đào tạo tại các trung tâm, trường học và doanh nghiệp. Nhờ vào việc được cung cấp trên nền tảng điện toán đám mây, ứng dụng học tập này có thể đáp ứng đông đảo mọi nhu cầu và mô hình học tập khác nhau, từ một vài học viên đến hàng chục lớp học quy mô lớn trong cùng thời điểm.</w:t>
      </w:r>
    </w:p>
    <w:p w:rsidR="00C95D0A" w:rsidRPr="00302E7B" w:rsidRDefault="000A61DA" w:rsidP="00302E7B">
      <w:pPr>
        <w:shd w:val="clear" w:color="auto" w:fill="FFFFFF"/>
        <w:spacing w:before="120" w:after="120" w:line="240" w:lineRule="auto"/>
        <w:jc w:val="both"/>
        <w:rPr>
          <w:rFonts w:ascii="Times New Roman" w:eastAsia="Times New Roman" w:hAnsi="Times New Roman" w:cs="Times New Roman"/>
          <w:color w:val="00B050"/>
          <w:sz w:val="28"/>
          <w:szCs w:val="28"/>
        </w:rPr>
      </w:pPr>
      <w:r w:rsidRPr="00302E7B">
        <w:rPr>
          <w:rFonts w:ascii="Times New Roman" w:eastAsia="Times New Roman" w:hAnsi="Times New Roman" w:cs="Times New Roman"/>
          <w:color w:val="000000"/>
          <w:sz w:val="28"/>
          <w:szCs w:val="28"/>
        </w:rPr>
        <w:t xml:space="preserve">Được thiết kế để sử dụng mọi lúc mọi nơi trên mọi thiết bị như điện thoại thông minh, máy tính bảng hay máy tính, Goocus đem đến một trải nghiệm hoàn toàn khác biệt so với phương pháp giảng dạy và học tập truyền thống. Với Goocus </w:t>
      </w:r>
      <w:r w:rsidRPr="00302E7B">
        <w:rPr>
          <w:rFonts w:ascii="Times New Roman" w:eastAsia="Times New Roman" w:hAnsi="Times New Roman" w:cs="Times New Roman"/>
          <w:color w:val="FF0000"/>
          <w:sz w:val="28"/>
          <w:szCs w:val="28"/>
        </w:rPr>
        <w:t>mọi khái niệm về không gian và thời gian bị phá vỡ, những buổi học giờ đây không còn bị bó hẹp trong phạm vi trường lớp</w:t>
      </w:r>
      <w:r w:rsidRPr="00302E7B">
        <w:rPr>
          <w:rFonts w:ascii="Times New Roman" w:eastAsia="Times New Roman" w:hAnsi="Times New Roman" w:cs="Times New Roman"/>
          <w:color w:val="00B050"/>
          <w:sz w:val="28"/>
          <w:szCs w:val="28"/>
        </w:rPr>
        <w:t>.</w:t>
      </w:r>
      <w:r w:rsidR="000968C4" w:rsidRPr="00302E7B">
        <w:rPr>
          <w:rFonts w:ascii="Times New Roman" w:eastAsia="Times New Roman" w:hAnsi="Times New Roman" w:cs="Times New Roman"/>
          <w:color w:val="00B050"/>
          <w:sz w:val="28"/>
          <w:szCs w:val="28"/>
        </w:rPr>
        <w:t>--&gt; học mọi lúc, mọi nơi</w:t>
      </w:r>
    </w:p>
    <w:p w:rsidR="00C95D0A" w:rsidRPr="00302E7B" w:rsidRDefault="000A61DA"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FF0000"/>
          <w:sz w:val="28"/>
          <w:szCs w:val="28"/>
        </w:rPr>
        <w:t>Mỗi học viên được cung cấp một tài khoản riêng có thể dùng điện thoại, máy tính bảng hay máy tính để truy cập hàng nghìn bài giảng của giảng viên bất cứ lúc nào, tại bất cứ đâu. Nhờ vào tính năng cho phép tự ôn luyện, tự chấm điểm, đánh giá năng lực bản thân ngay cả khi rời lớp học, Goocus đã thực sự tạo nên một không gian học “mở” lí tưởng dành cho học viên</w:t>
      </w:r>
      <w:r w:rsidRPr="00302E7B">
        <w:rPr>
          <w:rFonts w:ascii="Times New Roman" w:eastAsia="Times New Roman" w:hAnsi="Times New Roman" w:cs="Times New Roman"/>
          <w:color w:val="000000"/>
          <w:sz w:val="28"/>
          <w:szCs w:val="28"/>
        </w:rPr>
        <w:t>.</w:t>
      </w:r>
    </w:p>
    <w:p w:rsidR="00C95D0A" w:rsidRPr="00302E7B" w:rsidRDefault="000A61DA"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Với nỗ lực mang đến cho người dùng một môi trường học tập hoàn hảo nhất, Goocus </w:t>
      </w:r>
      <w:r w:rsidRPr="00302E7B">
        <w:rPr>
          <w:rFonts w:ascii="Times New Roman" w:eastAsia="Times New Roman" w:hAnsi="Times New Roman" w:cs="Times New Roman"/>
          <w:color w:val="FF0000"/>
          <w:sz w:val="28"/>
          <w:szCs w:val="28"/>
        </w:rPr>
        <w:t>còn có tính năng tìm kiếm bạn bè/ đồng nghiệp ngay trên ứng dụng để cùng ôn luyện hay trao đổi bài vở. Tính năng này giúp tăng cường tối đa giao tiếp giữa các thành viên khiến cho việc học tập trở nên hiệu quả hơn và thân thiện hơn</w:t>
      </w:r>
      <w:r w:rsidRPr="00302E7B">
        <w:rPr>
          <w:rFonts w:ascii="Times New Roman" w:eastAsia="Times New Roman" w:hAnsi="Times New Roman" w:cs="Times New Roman"/>
          <w:color w:val="000000"/>
          <w:sz w:val="28"/>
          <w:szCs w:val="28"/>
        </w:rPr>
        <w:t>.</w:t>
      </w:r>
    </w:p>
    <w:p w:rsidR="00C95D0A" w:rsidRPr="00302E7B" w:rsidRDefault="000A61DA" w:rsidP="00302E7B">
      <w:pPr>
        <w:shd w:val="clear" w:color="auto" w:fill="FFFFFF"/>
        <w:spacing w:before="120" w:after="120" w:line="240" w:lineRule="auto"/>
        <w:jc w:val="center"/>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lastRenderedPageBreak/>
        <w:br/>
        <w:t xml:space="preserve">Ngoài ra </w:t>
      </w:r>
      <w:r w:rsidRPr="00302E7B">
        <w:rPr>
          <w:rFonts w:ascii="Times New Roman" w:eastAsia="Times New Roman" w:hAnsi="Times New Roman" w:cs="Times New Roman"/>
          <w:color w:val="FF0000"/>
          <w:sz w:val="28"/>
          <w:szCs w:val="28"/>
        </w:rPr>
        <w:t>Goocus cũng hỗ trợ tối đa giảng viên trong công tác giảng dạy và quản lý học viên.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Goocus cũng là một công cụ đắc lực của giảng viên trong việc nhắc nhở học viên ôn luyện bài vở, hoàn thành khóa học của mình</w:t>
      </w:r>
      <w:r w:rsidRPr="00302E7B">
        <w:rPr>
          <w:rFonts w:ascii="Times New Roman" w:eastAsia="Times New Roman" w:hAnsi="Times New Roman" w:cs="Times New Roman"/>
          <w:color w:val="000000"/>
          <w:sz w:val="28"/>
          <w:szCs w:val="28"/>
        </w:rPr>
        <w:t>.</w:t>
      </w:r>
    </w:p>
    <w:p w:rsidR="000A61DA" w:rsidRPr="00302E7B" w:rsidRDefault="000A61DA"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Khi triển khai ứng dụng Goocus, trường Đại học Đại Nam hay bất kỳ cơ sở đào tạo nào đều sẽ </w:t>
      </w:r>
      <w:r w:rsidRPr="00302E7B">
        <w:rPr>
          <w:rFonts w:ascii="Times New Roman" w:eastAsia="Times New Roman" w:hAnsi="Times New Roman" w:cs="Times New Roman"/>
          <w:color w:val="FF0000"/>
          <w:sz w:val="28"/>
          <w:szCs w:val="28"/>
        </w:rPr>
        <w:t xml:space="preserve">không phải đầu tư trang thiết bị hay hạ tầng công nghệ thông tin chuyên biệt, bởi ứng dụng được cung cấp trên nền tảng điện toán đám mây, mọi thông tin dữ liệu của khách hàng được quản lý và lưu trữ một cách an toàn trên hệ thống máy chủ đám mây </w:t>
      </w:r>
      <w:r w:rsidRPr="00302E7B">
        <w:rPr>
          <w:rFonts w:ascii="Times New Roman" w:eastAsia="Times New Roman" w:hAnsi="Times New Roman" w:cs="Times New Roman"/>
          <w:color w:val="000000"/>
          <w:sz w:val="28"/>
          <w:szCs w:val="28"/>
        </w:rPr>
        <w:t xml:space="preserve">của Goocus. </w:t>
      </w:r>
      <w:r w:rsidRPr="00302E7B">
        <w:rPr>
          <w:rFonts w:ascii="Times New Roman" w:eastAsia="Times New Roman" w:hAnsi="Times New Roman" w:cs="Times New Roman"/>
          <w:color w:val="FF0000"/>
          <w:sz w:val="28"/>
          <w:szCs w:val="28"/>
        </w:rPr>
        <w:t>Để sử dụng được ứng dụng học tập thông minh này, các cơ sở đào tạo chỉ cần có đường truyền Internet và trả phí sử dụng theo số lượng account sử dụng dịch vụ mà khách hàng đăng ký</w:t>
      </w:r>
      <w:r w:rsidRPr="00302E7B">
        <w:rPr>
          <w:rFonts w:ascii="Times New Roman" w:eastAsia="Times New Roman" w:hAnsi="Times New Roman" w:cs="Times New Roman"/>
          <w:color w:val="000000"/>
          <w:sz w:val="28"/>
          <w:szCs w:val="28"/>
        </w:rPr>
        <w:t>.</w:t>
      </w:r>
      <w:r w:rsidR="00823A4F" w:rsidRPr="00302E7B">
        <w:rPr>
          <w:rFonts w:ascii="Times New Roman" w:eastAsia="Times New Roman" w:hAnsi="Times New Roman" w:cs="Times New Roman"/>
          <w:color w:val="000000"/>
          <w:sz w:val="28"/>
          <w:szCs w:val="28"/>
        </w:rPr>
        <w:t>/.</w:t>
      </w:r>
      <w:r w:rsidRPr="00302E7B">
        <w:rPr>
          <w:rFonts w:ascii="Times New Roman" w:eastAsia="Times New Roman" w:hAnsi="Times New Roman" w:cs="Times New Roman"/>
          <w:color w:val="000000"/>
          <w:sz w:val="28"/>
          <w:szCs w:val="28"/>
        </w:rPr>
        <w:t> </w:t>
      </w:r>
    </w:p>
    <w:p w:rsidR="00C95D0A" w:rsidRPr="00302E7B" w:rsidRDefault="00C95D0A" w:rsidP="00302E7B">
      <w:pPr>
        <w:shd w:val="clear" w:color="auto" w:fill="FFFFFF"/>
        <w:spacing w:before="120" w:after="120" w:line="240" w:lineRule="auto"/>
        <w:jc w:val="right"/>
        <w:rPr>
          <w:rFonts w:ascii="Times New Roman" w:eastAsia="Times New Roman" w:hAnsi="Times New Roman" w:cs="Times New Roman"/>
          <w:b/>
          <w:bCs/>
          <w:color w:val="000000"/>
          <w:sz w:val="28"/>
          <w:szCs w:val="28"/>
        </w:rPr>
      </w:pPr>
    </w:p>
    <w:p w:rsidR="00C95D0A" w:rsidRPr="00302E7B" w:rsidRDefault="00C95D0A" w:rsidP="00302E7B">
      <w:pPr>
        <w:shd w:val="clear" w:color="auto" w:fill="FFFFFF"/>
        <w:spacing w:before="120" w:after="120" w:line="240" w:lineRule="auto"/>
        <w:jc w:val="right"/>
        <w:rPr>
          <w:rFonts w:ascii="Times New Roman" w:eastAsia="Times New Roman" w:hAnsi="Times New Roman" w:cs="Times New Roman"/>
          <w:b/>
          <w:bCs/>
          <w:color w:val="000000"/>
          <w:sz w:val="28"/>
          <w:szCs w:val="28"/>
        </w:rPr>
      </w:pPr>
    </w:p>
    <w:p w:rsidR="000968C4" w:rsidRPr="00302E7B" w:rsidRDefault="00823A4F" w:rsidP="00302E7B">
      <w:pPr>
        <w:shd w:val="clear" w:color="auto" w:fill="FFFFFF"/>
        <w:spacing w:before="120" w:after="120" w:line="240" w:lineRule="auto"/>
        <w:jc w:val="center"/>
        <w:rPr>
          <w:rFonts w:ascii="Times New Roman" w:eastAsia="Times New Roman" w:hAnsi="Times New Roman" w:cs="Times New Roman"/>
          <w:b/>
          <w:bCs/>
          <w:caps/>
          <w:color w:val="00B050"/>
          <w:sz w:val="28"/>
          <w:szCs w:val="28"/>
        </w:rPr>
      </w:pPr>
      <w:r w:rsidRPr="00302E7B">
        <w:rPr>
          <w:rFonts w:ascii="Times New Roman" w:eastAsia="Times New Roman" w:hAnsi="Times New Roman" w:cs="Times New Roman"/>
          <w:b/>
          <w:bCs/>
          <w:caps/>
          <w:color w:val="00B050"/>
          <w:sz w:val="28"/>
          <w:szCs w:val="28"/>
        </w:rPr>
        <w:t xml:space="preserve">NÂNG CAO HIỆU QUẢ CÔNG TÁC QUẢN LÝ HỌC SINH SINH VIÊN </w:t>
      </w:r>
    </w:p>
    <w:p w:rsidR="00823A4F" w:rsidRPr="00302E7B" w:rsidRDefault="00823A4F" w:rsidP="00302E7B">
      <w:pPr>
        <w:shd w:val="clear" w:color="auto" w:fill="FFFFFF"/>
        <w:spacing w:before="120" w:after="120" w:line="240" w:lineRule="auto"/>
        <w:jc w:val="center"/>
        <w:rPr>
          <w:rFonts w:ascii="Times New Roman" w:eastAsia="Times New Roman" w:hAnsi="Times New Roman" w:cs="Times New Roman"/>
          <w:b/>
          <w:bCs/>
          <w:caps/>
          <w:color w:val="00B050"/>
          <w:sz w:val="28"/>
          <w:szCs w:val="28"/>
        </w:rPr>
      </w:pPr>
      <w:r w:rsidRPr="00302E7B">
        <w:rPr>
          <w:rFonts w:ascii="Times New Roman" w:eastAsia="Times New Roman" w:hAnsi="Times New Roman" w:cs="Times New Roman"/>
          <w:b/>
          <w:bCs/>
          <w:caps/>
          <w:color w:val="00B050"/>
          <w:sz w:val="28"/>
          <w:szCs w:val="28"/>
        </w:rPr>
        <w:t>Ở TRƯỜNG ĐẠI HỌC TÂN TRÀO TRONG GIAI ĐOẠN HIỆN NAY</w:t>
      </w:r>
    </w:p>
    <w:p w:rsidR="00823A4F" w:rsidRPr="00302E7B" w:rsidRDefault="00823A4F" w:rsidP="00302E7B">
      <w:pPr>
        <w:shd w:val="clear" w:color="auto" w:fill="FFFFFF"/>
        <w:spacing w:before="120" w:after="120" w:line="240" w:lineRule="auto"/>
        <w:rPr>
          <w:rFonts w:ascii="Times New Roman" w:eastAsia="Times New Roman" w:hAnsi="Times New Roman" w:cs="Times New Roman"/>
          <w:color w:val="000000"/>
          <w:sz w:val="28"/>
          <w:szCs w:val="28"/>
        </w:rPr>
      </w:pP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b/>
          <w:bCs/>
          <w:color w:val="000000"/>
          <w:sz w:val="28"/>
          <w:szCs w:val="28"/>
        </w:rPr>
      </w:pPr>
      <w:r w:rsidRPr="00302E7B">
        <w:rPr>
          <w:rFonts w:ascii="Times New Roman" w:eastAsia="Times New Roman" w:hAnsi="Times New Roman" w:cs="Times New Roman"/>
          <w:b/>
          <w:bCs/>
          <w:color w:val="000000"/>
          <w:sz w:val="28"/>
          <w:szCs w:val="28"/>
        </w:rPr>
        <w:t>Công tác học sinh sinh viên được xác định là một trong những nhiệm vụ trọng tâm, chủ yếu góp phần quan trọng vào việc nâng cao chất lượng đào tạo nguồn nhân lực ở các trường đại học hiện nay. Ý thức được điều đó, trong những năm qua, trường Đại học Tân Trào đã không ngừng đổi mới nội dung, hình thức tổ chức công tác quản lý học sinh sinh viên. Những kết quả đạt được trong công tác quản lý học sinh sinh viên của trường Đại học Tân Trào đã góp phần không nhỏ vào việc thực hiện sứ mạng đào tạo nguồn nhân lực chất lượng cao phục vụ sự phát triển kinh tế - xã hội của tỉnh Tuyên Quang và các tỉnh lân cận trong khu vực.</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Đặt vấn đề</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Trước yêu cầu của sự nghiệp công nghiệp hoá, hiện đại hoá đất nước hiện nay, việc đổi mới, nâng cao chất lượng đào tạo nguồn nhân lực đang trở thành vấn đề cấp bách. Trong những năm gần đây, Bộ Giáo dục và Đào tạo, các tổ chức quản lý giáo dục đặc biệt quan tâm tới công tác học sinh sinh viên (HSSV), hàng loạt những quy định, quy chế trong công tác HSSV được sửa đổi và ban hành nhằm nâng cao chất lượng quản lý, giáo dục HSSV đáp ứng yêu cầu của việc cung cấp nguồn nhân lực trong thời kỳ mới.</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Trường Đại học Tân Trào là cơ sở đào tạo đại học thuộc hệ thống giáo dục quốc dân, là đơn vị sự nghiệp công lập trực thuộc Ủy ban nhân dân tỉnh Tuyên Quang, chịu sự quản lý nhà nước về giáo dục của Bộ Giáo dục và Đào tạo, là cơ sở giáo dục đại học góp phần đào tạo nguồn nhân lực chất lượng cao phục vụ sự phát triển kinh tế - xã hội của tỉnh Tuyên Quang và các tỉnh lân cận trong khu vực. Trong những năm gần đây, cùng với đổi mới nội dung, chương trình, phương pháp giảng dạy – giáo dục, việc đổi mới phương thức và nội dung công tác học sinh sinh viên được nhà trường xác định là một trong những nhiệm vụ trọng tâm. </w:t>
      </w:r>
    </w:p>
    <w:p w:rsidR="000968C4" w:rsidRPr="00302E7B" w:rsidRDefault="00823A4F" w:rsidP="00302E7B">
      <w:pPr>
        <w:shd w:val="clear" w:color="auto" w:fill="FFFFFF"/>
        <w:spacing w:before="120" w:after="120" w:line="240" w:lineRule="auto"/>
        <w:jc w:val="both"/>
        <w:rPr>
          <w:rFonts w:ascii="Times New Roman" w:eastAsia="Times New Roman" w:hAnsi="Times New Roman" w:cs="Times New Roman"/>
          <w:b/>
          <w:bCs/>
          <w:color w:val="000000"/>
          <w:sz w:val="28"/>
          <w:szCs w:val="28"/>
        </w:rPr>
      </w:pPr>
      <w:r w:rsidRPr="00302E7B">
        <w:rPr>
          <w:rFonts w:ascii="Times New Roman" w:eastAsia="Times New Roman" w:hAnsi="Times New Roman" w:cs="Times New Roman"/>
          <w:b/>
          <w:bCs/>
          <w:color w:val="000000"/>
          <w:sz w:val="28"/>
          <w:szCs w:val="28"/>
        </w:rPr>
        <w:lastRenderedPageBreak/>
        <w:t>1.1. Cơ sở lý luận của công tác quản lý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 xml:space="preserve">1. </w:t>
      </w:r>
      <w:r w:rsidRPr="00302E7B">
        <w:rPr>
          <w:rFonts w:ascii="Times New Roman" w:eastAsia="Times New Roman" w:hAnsi="Times New Roman" w:cs="Times New Roman"/>
          <w:b/>
          <w:bCs/>
          <w:color w:val="FF0000"/>
          <w:sz w:val="28"/>
          <w:szCs w:val="28"/>
        </w:rPr>
        <w:t xml:space="preserve">Cơ sở khoa học </w:t>
      </w:r>
      <w:r w:rsidRPr="00302E7B">
        <w:rPr>
          <w:rFonts w:ascii="Times New Roman" w:eastAsia="Times New Roman" w:hAnsi="Times New Roman" w:cs="Times New Roman"/>
          <w:b/>
          <w:bCs/>
          <w:color w:val="000000"/>
          <w:sz w:val="28"/>
          <w:szCs w:val="28"/>
        </w:rPr>
        <w:t>của công tác quản lý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Quản lý đó là sự tác động liên tục có tổ chức, có định hướng của chủ thể (người quản lý, tổ chức quản lý) lên khách thể (đối tượng quản lý) về các mặt chính trị, văn hoá, xã hội, kinh tế… bằng một hệ thống các quy định, các chính sách, các nguyên tắc, phương pháp và biện pháp cụ thể nhằm tạo ra môi trường và điều kiện cho sự phát triển của đối tượng. Nói một cách khái quát: Quản lý là quá trình tác động có mục đích, có kế hoạch, hợp qui luật của chủ thể quản lý đến khách thể quản lý nhằm đạt tới các mục tiêu đề ra.</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Quản lý học sinh, sinh viên là quá trình tác động có mục đích, có kế hoạch của hệ thống tổ chức quản lý HSSV thông qua các quy định, quy chế, các chính sách và bằng các phương pháp, biện pháp cụ thể, với những nội dung cụ thể nhằm đạt được các mục đích, yêu cầu của công tác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FF0000"/>
          <w:sz w:val="28"/>
          <w:szCs w:val="28"/>
        </w:rPr>
        <w:t>Nội dung công tác quản lý học sinh sinh viên trong trường đại học, cao đẳng bao gồm: Công tác tổ chức hành chính (tiếp nhận thí sinh trúng tuyển vào học; sắp xếp bố trí vào các lớp HSSV; chỉ định Ban cán sự lớp lâm thời; làm thẻ cho HSSV; tiếp nhận HSSV vào ở nội trú; thống kê, tổng hợp dữ liệu, quản lý hồ sơ của HSSV...); Công tác tổ chức, quản lý hoạt động học tập và rèn luyện của HSSV (theo dõi, đánh giá ý thức học tập, rèn luyện của HSSV; phân loại, xếp loại HSSV; tổ chức thi đua, khen thưởng, kỷ luật HSSV; tổ chức “Tuần sinh hoạt công dân - HSSV”; tổ chức cho HSSV tham gia các hoạt động nghiên cứu khoa học, thi HSSV giỏi, Olympic các môn học; tổ chức triển khai công tác giáo dục tư tưởng chính trị, đạo đức, lối sống cho HSSV; tổ chức cho HSSV tham gia các hoạt động văn hoá, văn nghệ và các hoạt động ngoài giờ lên lớp khác; tổ chức đối thoại định kỳ giữa Hiệu trưởng nhà trường với HSSV; theo dõi công tác phát triển Đảng trong HSSV; tổ chức tư vấn học tập, nghề nghiệp, việc làm cho HSSV…); Công tác y tế, thể thao; Thực hiện các chế độ, chính sách đối với HSSV; Thực hiện công tác an ninh chính trị, trật tự, an toàn, phòng chống tội phạm và các tệ nạn xã hội; Thực hiện công tác quản lý HSSV nội trú, ngoại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Hệ thống tổ chức, quản lý công tác HSSV trong trường đại học, cao đẳng gồm có Hiệu trưởng (Hiệu phó phụ trách công tác HSSV), đơn vị phụ trách công tác HSSV, giáo viên chủ nhiệm (cố vấn học tập, trợ lý) và lớp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FF0000"/>
          <w:sz w:val="28"/>
          <w:szCs w:val="28"/>
        </w:rPr>
        <w:t>Muốn quản lý HSSV tốt</w:t>
      </w:r>
      <w:r w:rsidRPr="00302E7B">
        <w:rPr>
          <w:rFonts w:ascii="Times New Roman" w:eastAsia="Times New Roman" w:hAnsi="Times New Roman" w:cs="Times New Roman"/>
          <w:color w:val="000000"/>
          <w:sz w:val="28"/>
          <w:szCs w:val="28"/>
        </w:rPr>
        <w:t xml:space="preserve">, trước tiên người quản lý </w:t>
      </w:r>
      <w:r w:rsidRPr="00302E7B">
        <w:rPr>
          <w:rFonts w:ascii="Times New Roman" w:eastAsia="Times New Roman" w:hAnsi="Times New Roman" w:cs="Times New Roman"/>
          <w:color w:val="FF0000"/>
          <w:sz w:val="28"/>
          <w:szCs w:val="28"/>
        </w:rPr>
        <w:t xml:space="preserve">phải được đào tạo các kiến thức cơ bản </w:t>
      </w:r>
      <w:r w:rsidRPr="00302E7B">
        <w:rPr>
          <w:rFonts w:ascii="Times New Roman" w:eastAsia="Times New Roman" w:hAnsi="Times New Roman" w:cs="Times New Roman"/>
          <w:color w:val="000000"/>
          <w:sz w:val="28"/>
          <w:szCs w:val="28"/>
        </w:rPr>
        <w:t>về lĩnh vực này một cách có hệ thống, nắm được các qui luật khách quan về sự phát triển tâm lý, sinh lý của HSSV, biết vận dụng các qui luật kinh tế trong việc động viên khuyến khích HSSV... Bên cạnh đó người làm công tác quản lý HSSV còn phải biết và tạo ra và duy trì môi trường sư phạm mà ở đó mọi thành viên tham gia công tác HSSV cùng hợp tác để hoàn thành mục tiêu đào tạo đã đề ra.</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 xml:space="preserve">1.2. </w:t>
      </w:r>
      <w:r w:rsidRPr="00302E7B">
        <w:rPr>
          <w:rFonts w:ascii="Times New Roman" w:eastAsia="Times New Roman" w:hAnsi="Times New Roman" w:cs="Times New Roman"/>
          <w:b/>
          <w:bCs/>
          <w:color w:val="FF0000"/>
          <w:sz w:val="28"/>
          <w:szCs w:val="28"/>
        </w:rPr>
        <w:t xml:space="preserve">Cơ sở pháp lý </w:t>
      </w:r>
      <w:r w:rsidRPr="00302E7B">
        <w:rPr>
          <w:rFonts w:ascii="Times New Roman" w:eastAsia="Times New Roman" w:hAnsi="Times New Roman" w:cs="Times New Roman"/>
          <w:b/>
          <w:bCs/>
          <w:color w:val="000000"/>
          <w:sz w:val="28"/>
          <w:szCs w:val="28"/>
        </w:rPr>
        <w:t>của công tác quản lý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Công tác HSSV là một trong những nhiệm vụ trọng tâm, chủ yếu trong toàn bộ quá trình tổ chức đào tạo ở các trường đại học, cao đẳng, trung cấp chuyên nghiệp. Xác định rõ tầm quan trọng, ý nghĩa của công tác HSSV, Đảng và Nhà nước rất quan tâm tới công tác HSSV. Cùng với sự chỉ đạo thay đổi Luật giáo dục cho phù hợp với thực tiễn giáo dục và sự phát triển của </w:t>
      </w:r>
      <w:r w:rsidRPr="00302E7B">
        <w:rPr>
          <w:rFonts w:ascii="Times New Roman" w:eastAsia="Times New Roman" w:hAnsi="Times New Roman" w:cs="Times New Roman"/>
          <w:color w:val="000000"/>
          <w:sz w:val="28"/>
          <w:szCs w:val="28"/>
        </w:rPr>
        <w:lastRenderedPageBreak/>
        <w:t>kinh tế xã hội, Chính phủ đã ban hành Nghị định số 85/2003/NĐ-CP ngày 18/7/2003 qui định về chức năng, nhiệm vụ, quyền hạn và cơ cấu tổ chức của Bộ Giáo dục - Đào tạo và Bộ trưởng Bộ Giáo dục - Đào tạo đã ra quyết định sô 4778/QĐ - BGD&amp;ĐT –TCCB ngày 8/9/2003 về việc qui định chức năng nhiệm vụ của các tổ chức giúp Bộ trưởng thực hiện chức năng quản lý nhà nước thuộc Bộ Giáo dục - Đào tạo theo quy định tại Nghị định trên của Chính phủ, trong đó có Vụ Công tác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Sau khi có quyết định của Chính phủ, các trường đã chủ động kiện toàn bộ máy phụ trách công tác HSSV theo hướng tập trung vào một đầu mối trên cơ sở sát nhập các bộ phận làm công tác chính trị, công tác sinh viên thành phòng Công tác chính trị - sinh viên, phòng Quản lý sinh viên hoặc phòng Công tác HSSV. Bộ Giáo dục và Đào tạo cũng đã ban hành hàng loạt các văn bản qui định và hướng dẫn công tác HSSV làm căn cứ pháp lý cho các trường tổ chức quản lý và  triển khai công tác HSSV một cách thống nhất và có hiệu quả như: Quy chế học sinh, sinh viên các trường Đại học, Cao đẳng và Trung cấp chuyên nghiệp hệ chính quy </w:t>
      </w:r>
      <w:r w:rsidRPr="00302E7B">
        <w:rPr>
          <w:rFonts w:ascii="Times New Roman" w:eastAsia="Times New Roman" w:hAnsi="Times New Roman" w:cs="Times New Roman"/>
          <w:i/>
          <w:iCs/>
          <w:color w:val="000000"/>
          <w:sz w:val="28"/>
          <w:szCs w:val="28"/>
        </w:rPr>
        <w:t>(kèm theo Quyết định số 42/2007/QĐ-BGDĐT ngày 13 tháng 8  năm 2007 của Bộ trưởng Bộ Giáo dục và Đào tạo</w:t>
      </w:r>
      <w:r w:rsidRPr="00302E7B">
        <w:rPr>
          <w:rFonts w:ascii="Times New Roman" w:eastAsia="Times New Roman" w:hAnsi="Times New Roman" w:cs="Times New Roman"/>
          <w:b/>
          <w:bCs/>
          <w:i/>
          <w:iCs/>
          <w:color w:val="000000"/>
          <w:sz w:val="28"/>
          <w:szCs w:val="28"/>
        </w:rPr>
        <w:t>); </w:t>
      </w:r>
      <w:r w:rsidRPr="00302E7B">
        <w:rPr>
          <w:rFonts w:ascii="Times New Roman" w:eastAsia="Times New Roman" w:hAnsi="Times New Roman" w:cs="Times New Roman"/>
          <w:b/>
          <w:bCs/>
          <w:color w:val="000000"/>
          <w:sz w:val="28"/>
          <w:szCs w:val="28"/>
        </w:rPr>
        <w:t>Quy định về công tác giáo dục phẩm chất chính trị, đạo đức, lối sống cho học sinh, sinh viên trong các đại học, học viện, trường đại học, cao đẳng và trung cấp chuyên nghiệp (</w:t>
      </w:r>
      <w:r w:rsidRPr="00302E7B">
        <w:rPr>
          <w:rFonts w:ascii="Times New Roman" w:eastAsia="Times New Roman" w:hAnsi="Times New Roman" w:cs="Times New Roman"/>
          <w:b/>
          <w:bCs/>
          <w:i/>
          <w:iCs/>
          <w:color w:val="000000"/>
          <w:sz w:val="28"/>
          <w:szCs w:val="28"/>
        </w:rPr>
        <w:t>kèm theo Quyết định số 50/2007/QĐ-BGDĐT ngày 29 tháng 8 năm 2007 của Bộ trưởng Bộ Giáo dục và Đào tạo</w:t>
      </w:r>
      <w:r w:rsidRPr="00302E7B">
        <w:rPr>
          <w:rFonts w:ascii="Times New Roman" w:eastAsia="Times New Roman" w:hAnsi="Times New Roman" w:cs="Times New Roman"/>
          <w:b/>
          <w:bCs/>
          <w:color w:val="000000"/>
          <w:sz w:val="28"/>
          <w:szCs w:val="28"/>
        </w:rPr>
        <w:t>); Quy </w:t>
      </w:r>
      <w:r w:rsidRPr="00302E7B">
        <w:rPr>
          <w:rFonts w:ascii="Times New Roman" w:eastAsia="Times New Roman" w:hAnsi="Times New Roman" w:cs="Times New Roman"/>
          <w:color w:val="000000"/>
          <w:sz w:val="28"/>
          <w:szCs w:val="28"/>
        </w:rPr>
        <w:t>chế đánh giá kết quả rèn luyện của học sinh, sinh viên các cơ sở giáo dục đại học và trường trung cấp chuyên nghiệp hệ chính quy (</w:t>
      </w:r>
      <w:r w:rsidRPr="00302E7B">
        <w:rPr>
          <w:rFonts w:ascii="Times New Roman" w:eastAsia="Times New Roman" w:hAnsi="Times New Roman" w:cs="Times New Roman"/>
          <w:i/>
          <w:iCs/>
          <w:color w:val="000000"/>
          <w:sz w:val="28"/>
          <w:szCs w:val="28"/>
        </w:rPr>
        <w:t>kèm theo Quyết định số 60/2007/QĐ</w:t>
      </w:r>
      <w:r w:rsidRPr="00302E7B">
        <w:rPr>
          <w:rFonts w:ascii="Times New Roman" w:eastAsia="Times New Roman" w:hAnsi="Times New Roman" w:cs="Times New Roman"/>
          <w:b/>
          <w:bCs/>
          <w:i/>
          <w:iCs/>
          <w:color w:val="000000"/>
          <w:sz w:val="28"/>
          <w:szCs w:val="28"/>
        </w:rPr>
        <w:t>-BGDĐT ngày 16 tháng 10 năm 2007 của Bộ trưởng Bộ Giáo dục và Đào tạo)</w:t>
      </w:r>
      <w:r w:rsidRPr="00302E7B">
        <w:rPr>
          <w:rFonts w:ascii="Times New Roman" w:eastAsia="Times New Roman" w:hAnsi="Times New Roman" w:cs="Times New Roman"/>
          <w:color w:val="000000"/>
          <w:sz w:val="28"/>
          <w:szCs w:val="28"/>
        </w:rPr>
        <w:t> và rất nhiều các quy định, hướng dẫn về chế độ miễn giảm học phí, trợ cấp ưu đãi, vay vốn tín dụng...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2. Thực trạng công tác quản lý học sinh sinh viên ở trường Đại học Tân Trào hiện nay</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2.1. Một số nét về trường Đại học Tân Trào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Trường Đại học Tân Trào được thành lập ngày 14 tháng 8 năm 2013 (</w:t>
      </w:r>
      <w:r w:rsidRPr="00302E7B">
        <w:rPr>
          <w:rFonts w:ascii="Times New Roman" w:eastAsia="Times New Roman" w:hAnsi="Times New Roman" w:cs="Times New Roman"/>
          <w:i/>
          <w:iCs/>
          <w:color w:val="000000"/>
          <w:sz w:val="28"/>
          <w:szCs w:val="28"/>
        </w:rPr>
        <w:t>Quyết định số 1404/QĐ-TTg ngày 14 tháng 8 năm 2013 của Thủ tướng Chính phủ</w:t>
      </w:r>
      <w:r w:rsidRPr="00302E7B">
        <w:rPr>
          <w:rFonts w:ascii="Times New Roman" w:eastAsia="Times New Roman" w:hAnsi="Times New Roman" w:cs="Times New Roman"/>
          <w:color w:val="000000"/>
          <w:sz w:val="28"/>
          <w:szCs w:val="28"/>
        </w:rPr>
        <w:t>) trên cơ sở nâng cấp trường Cao đẳng Tuyên Quang; là trường đại học công lập, đào tạo đa ngành, đa lĩnh vực; là cơ sở nghiên cứu khoa học, ứng dụng và chuyển giao công nghệ của tỉnh Tuyên Quang và một số tỉnh lân cận.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Tính đến tháng 12 năm 2015, nhà trường có gần 300 cán bộ, giảng viên, nhân viên (Tiến sỹ: 12; Thạc sỹ: 159; đang học sau đại học: 38; đang làm nghiên cứu sinh trong và ngoài nước: 48) và gần 5000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Trường Đại học Tân Trào có nhiệm vụ đào tạo các loại hình giáo viên Mầm non, Tiểu học, THCS, THPT; cán bộ các ngành Nông-Lâm-Ngư nghiệp, Kinh tế và Quản trị kinh doanh trình độ Cao đẳng, Đại học; liên kết, hợp tác với các cơ sở giáo dục ĐH khác theo quy định của pháp luật; NCKH và chuyển giao KHCN phục vụ cho sự phát triển kinh tế - xã hội.</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 xml:space="preserve">2.2. Một số nét về phòng Quản lý sinh viên trường </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Phòng Quản lý sinh viên trường Đại học Tân Trào tiền thân là bộ phận quản lí HSSV thuộc Phòng Tổ chức - Chính trị. Hiện tại, phòng có 16 cán bộ, giảng viên. Trong đó: Nam: 07 đ/c; Nữ: 09 đ/c. Chuyên môn: Thạc sỹ: 05 đ/c; Cử nhân: 07 đ/c; trình độ khác: 04 đ/c.</w:t>
      </w:r>
    </w:p>
    <w:p w:rsidR="009D0334"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lastRenderedPageBreak/>
        <w:t>Phòng có chức năng, nhiệm vụ: Tổ chức tiếp nhận thí sinh trúng tuyển vào học theo qui định của Bộ GD&amp;ĐT và nhà trường; Thống kê, tổng hợp dữ liệu và quản lí hồ sơ của HSSV; Đánh giá, tổng hợp kết quả rèn luyện, khen thưởng của HSSV; Tổ chức "Tuần sinh hoạt công dân HSSV"; Tổ chức công tác giáo dục chính trị tư tưởng, đạo đức, lối sống cho HSSV; Tổ chức các hoạt động văn hóa văn nghệ, các hoạt động ngoài giờ lên lớp khác cho HSSV; Tổ chức thực hiện các chế độ chính sách của Nhà nước qui định đối với HSSV về học bổng, trợ cấp xã hội, tín dụng đào tạo và các chế độ khác có liên quan đến HSSV; Quản lí HSSV nội, ngoại trú; Tuyên truyền, phổ biến, giáo dục pháp luật về an toàn giao thông, phòng chống tội phạm ma túy, mại dâm, HIV/AIDS và các hoạt động khác có liên quan đến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 xml:space="preserve">2.3. Thực trạng công tác quản lý HSSV của trường </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000000"/>
          <w:sz w:val="28"/>
          <w:szCs w:val="28"/>
        </w:rPr>
        <w:t>2.3.1. Công tác giáo dục chính trị, tư tưởng, đạo đức, lối sống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Trong những năm qua, thực hiện "Quy chế học sinh, sinh viên các trường Đại học, Cao đẳng, Trung cấp chuyên nghiệp hệ chính quy" do Bộ Giáo dục và Đào tạo ban hành, với sự nỗ lực, cố gắng toàn diện của nhà trường, công tác giáo dục tư tưởng, chính trị, đạo đức, lối sống cho HSSV của nhà trường đã thu được những kết quả tốt đẹp. Đa số HSSV có nhận thức đúng đắn về mục tiêu đào tạo, có lập trường tư tưởng chính trị vững vàng, có ý thức kỷ luật, có đạo đức, lối sống lành mạnh. Nhà trường đã triển khai tốt các hình thức và biện pháp giáo dục chính trị, tư tưởng, đạo đức, lối sống đối với HSSV như: tổ chức "Tuần giáo dục công dân học sinh, sinh viên" đầu khóa, đầu năm, cuối khóa; tổ chức các hoạt động phong trào như: phong trào tình nguyện của thanh niên; tham gia đảm bảo an toàn giao thông; giữ gìn an ninh, trật tự trên địa bàn trường đóng, phong trào hiến máu nhân đạo, các hoạt động văn hóa, văn nghệ, thể dục thể thao v.v...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000000"/>
          <w:sz w:val="28"/>
          <w:szCs w:val="28"/>
        </w:rPr>
        <w:t>2.3.2. Phong trào học tập, nghiên cứu khoa học của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Đa số HSSV có ý thức và động cơ học tập đúng đắn, cần cù, chịu khó khắc phục khó khăn vươn lên trong học tập, việc học tập, thi cử đã có nhiều chuyến biến tích cực, kết quả đào tạo, bồi dưỡng của nhà trường ngày càng đi vào chiều sâu, thực chất, đánh giá đúng chất lượng dạy học và giáo dục của nhà trường.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Nhà trường đã thành lập Trung tâm Tin học-Ngoại ngữ nhằm đáp ứng nhu cầu học tập, bồi dưỡng, nâng cao trình độ của HSSV. Bộ môn Tâm lý-Giáo dục đào tạo và cấp chứng chỉ Công tác Đội cho HSSV. Nhà trường còn liên kết với các cơ sở giáo dục dạy và cấp chứng chỉ nghiệp vụ nấu ăn cho học sinh sinh viên ngành Mầm non. Do vậy, HSSV khi ra trường đã đáp ứng được yêu cầu chuẩn đầu ra về Tin học, Ngoại ngữ, Công tác Đội và nghiệp vụ nấu ăn góp phần nâng cao chất lượng đào tạo của nhà trường nói chung, đáp ứng được yêu cầu ngày càng cao của xã hội.</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Bốn năm trở lại đây, trường Đại học Tân Trào đã tổ chức cho học sinh sinh viên tham gia</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thi Olimpic Toán, Vật lý, Hóa học toàn quốc. Nhà trường đã dành được nhiều giải thưởng cao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trong khối các trường Đại học, Cao đẳng  toàn quốc.</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Định kỳ hai năm một lần, nhà trường tổ chức Hội thi Nghiệp vụ sư phạm giỏi cấp trường. Hội thi đã thu hút được đông đảo HSSV tham gia. Trên cơ sở hạt nhân Hội thi cấp trường, nhà </w:t>
      </w:r>
      <w:r w:rsidRPr="00302E7B">
        <w:rPr>
          <w:rFonts w:ascii="Times New Roman" w:eastAsia="Times New Roman" w:hAnsi="Times New Roman" w:cs="Times New Roman"/>
          <w:color w:val="000000"/>
          <w:sz w:val="28"/>
          <w:szCs w:val="28"/>
        </w:rPr>
        <w:lastRenderedPageBreak/>
        <w:t>trường đã thành lập Đoàn HSSV tham gia Hội giao lưu sư phạm cụm Trung Bắc do khối các trường CĐ, ĐH cụm Trung bắc tổ chức và đã dành được nhiều giải thưởng cao.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000000"/>
          <w:sz w:val="28"/>
          <w:szCs w:val="28"/>
        </w:rPr>
        <w:t>2.3.3. Tổ chức thực hiện các chế độ, chính sách đối với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Đầu năm học, nhà trường giao cho phòng Quản lý HSSV chủ trì, phối hợp với các đơn vị, đoàn thể tổ chức cho HSSV học tập các nội dung cơ bản của "Tuần sinh hoạt công dân HSSV", trong đó hướng dẫn HSSV khóa mới các văn bản thực hiện chế độ chính sách. Việc thực hiện chế độ chính sách đối với HSSV như trợ cấp xã hội, học bổng khuyến khích học tập, trợ cấp ưu đãi, vay vốn tín dụng đào tạo, miễn giảm học phí... Vì vậy được thực hiện đúng quy định, không để xảy ra sai sót, ách tắc, đảm bảo đúng và đủ mọi quyền lợi của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Ngoài các chế độ chính sách theo quy định chung của Nhà nước, trường Đại học Tân Trào còn thực hiện nghiêm túc Nghị quyết 34/2013/NQ-HĐND ngày 12/12/2013 của Hội đồng nhân dân tỉnh Tuyên Quang về cơ chế, chính sách thu hút giảng viên trình độ cao và khuyến khích sinh viên cho trường Đại học Tân Trào, trong đó tập trung vào các chính sách hỗ trợ miễn giảm học phí, hỗ trợ tiền thuê nhà ở, hỗ trợ học bổng khuyến khích...</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000000"/>
          <w:sz w:val="28"/>
          <w:szCs w:val="28"/>
        </w:rPr>
        <w:t>2.3.4. Công tác quản lý học sinh sinh viên nội, ngoại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Khu nội trú của nhà trường có khoảng 1.200 chỗ ở. Nhà trường có bộ phận quản lý HSSV nội trú chuyên trách trực thuộc phòng Quản lý sinh viên và có 1 ban tự quản của Đoàn thanh niên để tham gia quản lý HSSV nội trú. Công tác quản lý HSSV nội trú của nhà trường được thực hiện đúng Quy chế quản lý HSSV nội trú cuả Bộ GD&amp;ĐT. Tại khu nội trú, học sinh sinh viên được phục vụ ăn uống tại Nhà ăn tập thể. Ngoài giờ học, các em có thể tham gia các hoạt động thể thao như bóng đá, bóng bàn, cầu lông, bóng chuyền, tập thể hình...tại Trung tâm thể dục thể thao của nhà trường với đầy đủ các phương tiện kỹ thuật.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Để quản lý HSSV ngoại trú, nhà trường đã phối kết hợp chặt chẽ với các cơ quan chức năng, các đoàn thể, chính quyền, nhân dân địa phương nơi trường đóng, giáo viên chủ nhiệm và ban cán sự các lớp. Tổ chức cho HSSV ngoại trú đăng ký tạm trú tạm vắng. Phòng Quản lý sinh viên thường xuyên phối hợp với lực lượng an ninh khu vực kiểm tra việc thực hiện nền nếp, quy định nơi cư trú của HSSV. Định kỳ tổ chức đối thoại với HSSV để nắm bắt diễn biến tư tưởng, những khó khăn, thuận lợi trong học tập cũng như trong cuộc sống của HSSV, qua đó kịp thời đề xuất các giải pháp nâng cao hiệu quả công tác quản lý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000000"/>
          <w:sz w:val="28"/>
          <w:szCs w:val="28"/>
        </w:rPr>
        <w:t>2.3.5. Việc tổ chức các hoạt động phong trào cho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Trường Đại học Tân Trào luôn nhận thức sâu sắc: Muốn nâng cao chất lượng đào tạo toàn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diện cần đặc biệt chú trọng và quan tâm đến việc tổ chức các hoạt động phong trào của HSSV. Từ nhận thức đó, trong những năm qua nhà trường đã có nhiều hình thức và biện pháp sáng tạo, phù hợp, hiệu quả để đẩy mạnh các hoạt động văn hoá, văn nghệ, thể thao và các hoạt động xã hội trong nhà trường, cụ thể như: tổ chức tốt hoạt động văn hoá, văn nghệ, thể thao nhân kỷ niệm các ngày lễ lớn, tham gia đầy đủ, tích cực với tinh thần trách nhiệm cao các hoạt động xã hội, phong trào thanh niên tình nguyện, hiến máu nhân đạo, đền ơn đáp nghĩa... do nhà trường, các cấp, các ngành phát động.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000000"/>
          <w:sz w:val="28"/>
          <w:szCs w:val="28"/>
        </w:rPr>
        <w:t>2.3.6. Công tác phát triển Đảng trong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lastRenderedPageBreak/>
        <w:t>Trong nhiều năm qua, công tác phát triển Đảng trong HSSV luôn được Đảng uỷ nhà trường quan tâm, chăm lo. Trong từng nhiệm kỳ, từng năm học, Đảng uỷ đều có những nghị quyết chuyên đề về công tác phát triển Đảng trong HSSV và đã có nhiều biện pháp tổ chức thực hiện phù hợp với tình hình thực tế của nhà trường để kết nạp được những HSSV tiêu biểu. Từ năm  2010 đến nay: Đoàn thanh niên cộng sản Hồ Chí Minh bồi dưỡng, giới thiệu cho Đảng bộ được 159 Đoàn viên ưu tú để bồi dưỡng phát triển Đảng, Đảng bộ đã kết nạp được 08 HSSV vào Đảng Cộng sản Việt Nam.</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 xml:space="preserve">2.4. </w:t>
      </w:r>
      <w:r w:rsidRPr="00302E7B">
        <w:rPr>
          <w:rFonts w:ascii="Times New Roman" w:eastAsia="Times New Roman" w:hAnsi="Times New Roman" w:cs="Times New Roman"/>
          <w:b/>
          <w:bCs/>
          <w:color w:val="FF0000"/>
          <w:sz w:val="28"/>
          <w:szCs w:val="28"/>
        </w:rPr>
        <w:t xml:space="preserve">Một số tồn tại </w:t>
      </w:r>
      <w:r w:rsidRPr="00302E7B">
        <w:rPr>
          <w:rFonts w:ascii="Times New Roman" w:eastAsia="Times New Roman" w:hAnsi="Times New Roman" w:cs="Times New Roman"/>
          <w:b/>
          <w:bCs/>
          <w:color w:val="000000"/>
          <w:sz w:val="28"/>
          <w:szCs w:val="28"/>
        </w:rPr>
        <w:t>trong công tác quản lý học sinh, sinh viên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Trong những năm qua nhà trường đã tích cực triển khai thực hiện các văn bản quy định của Bộ giáo dục&amp; Đào tạo về công tác HSSV, tuy nhiên trong quá trình thực hiện vẫn còn nhiều hạn chế. Cụ thể là: </w:t>
      </w:r>
      <w:r w:rsidRPr="00302E7B">
        <w:rPr>
          <w:rFonts w:ascii="Times New Roman" w:eastAsia="Times New Roman" w:hAnsi="Times New Roman" w:cs="Times New Roman"/>
          <w:color w:val="FF0000"/>
          <w:sz w:val="28"/>
          <w:szCs w:val="28"/>
        </w:rPr>
        <w:t>số HSSV đạt điểm rèn luyện từ loại Tốt trở lên chiếm tỷ lệ chưa cao, nhiều tiêu chí đặt ra trong phiếu đánh giá kết quả rèn luyện HSSV chưa phù hợp, việc theo dõi kiểm tra của hệ thống ban cán sự lớp, giáo viên chủ nhiệm chưa chặt chẽ. Việc tổ chức các hoạt động nhằm tập hợp HSSV ngoại trú chưa được thực hiện, vẫn còn tình trạng buông lỏng quản lí đối với HSSV ngoại trú. Cơ sở vật chất trong khu nội trú chưa đảm bảo nhu cầu sinh hoạt của HSSV, nhà ăn tập thể chưa phát huy được hiệu quả</w:t>
      </w:r>
      <w:r w:rsidRPr="00302E7B">
        <w:rPr>
          <w:rFonts w:ascii="Times New Roman" w:eastAsia="Times New Roman" w:hAnsi="Times New Roman" w:cs="Times New Roman"/>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FF0000"/>
          <w:sz w:val="28"/>
          <w:szCs w:val="28"/>
        </w:rPr>
      </w:pPr>
      <w:r w:rsidRPr="00302E7B">
        <w:rPr>
          <w:rFonts w:ascii="Times New Roman" w:eastAsia="Times New Roman" w:hAnsi="Times New Roman" w:cs="Times New Roman"/>
          <w:color w:val="FF0000"/>
          <w:sz w:val="28"/>
          <w:szCs w:val="28"/>
        </w:rPr>
        <w:t>Nhà trường đã chú trọng tới việc đầu tư cơ sở vật chất trang thiết bị phục vụ cho công tác giảng dạy, nghiên cứu khoa học của cán bộ, giáo viên và HSSV, tuy nhiên do hạn chế về nguồn ngân sách nên số lượng đầu sách cho thư viện chưa đáp ứng đủ nhu cầu của việc học tập, nghiên cứu. Nhà trường đã có văn bản hướng dẫn SV tham gia nghiên cứu khoa học và xây dựng các tiêu chí khen thưởng cho SV tham gia nghiên cứu khoa học, nhưng tới nay chưa có công trình nghiên cứu của HSSV được nghiệm thu. HSSV chưa phát huy được tính sáng tạo trong học tập theo phương pháp giảng dạy mới, việc học tập vẫn còn trong tình trạng thụ động.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FF0000"/>
          <w:sz w:val="28"/>
          <w:szCs w:val="28"/>
        </w:rPr>
      </w:pPr>
      <w:r w:rsidRPr="00302E7B">
        <w:rPr>
          <w:rFonts w:ascii="Times New Roman" w:eastAsia="Times New Roman" w:hAnsi="Times New Roman" w:cs="Times New Roman"/>
          <w:color w:val="FF0000"/>
          <w:sz w:val="28"/>
          <w:szCs w:val="28"/>
        </w:rPr>
        <w:t>Phòng công tác HSSV, Hội sinh viên chưa xây dựng được các câu lạc bộ, các mô hình học thuật để tạo điều kiện giúp đỡ HSSV trong học tập, rèn luyện. Sự phối hợp giữa các phòng, khoa, giáo viên chủ nhiệm lớp với phòng Công tác HSSV chưa thật nhịp nhàng.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FF0000"/>
          <w:sz w:val="28"/>
          <w:szCs w:val="28"/>
        </w:rPr>
        <w:t>Một bộ phận HSSV còn thiếu trung thực trong học tập và thi cử, một số chưa có hoài bão, lý tưởng, một bộ phận có biểu hiện của lối sống hưởng thụ, đua đòi, chưa thực sự tự giác, tích cực trong học tập, rèn luyện</w:t>
      </w:r>
      <w:r w:rsidRPr="00302E7B">
        <w:rPr>
          <w:rFonts w:ascii="Times New Roman" w:eastAsia="Times New Roman" w:hAnsi="Times New Roman" w:cs="Times New Roman"/>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3. Một số giải pháp, kiến nghị  nhằm nâng cao hiệu quả công tác quản lý học sinh sinh viên ở trường Đại học Tân Trào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 xml:space="preserve">3.1. </w:t>
      </w:r>
      <w:r w:rsidRPr="00302E7B">
        <w:rPr>
          <w:rFonts w:ascii="Times New Roman" w:eastAsia="Times New Roman" w:hAnsi="Times New Roman" w:cs="Times New Roman"/>
          <w:b/>
          <w:bCs/>
          <w:color w:val="FF0000"/>
          <w:sz w:val="28"/>
          <w:szCs w:val="28"/>
        </w:rPr>
        <w:t>Giải pháp</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Để thực hiện mục tiêu đào tạo nguồn nhân lực chất lượng cao thì việc nâng cao hiệu quả công tác quản lý HSSV được nhà trường xác định là một trong những nhiệm vụ trọng tâm. Muốn vậy nhà trường cần tập trung thực hiện những giải pháp sau:</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FF0000"/>
          <w:sz w:val="28"/>
          <w:szCs w:val="28"/>
        </w:rPr>
        <w:t>Một là</w:t>
      </w:r>
      <w:r w:rsidRPr="00302E7B">
        <w:rPr>
          <w:rFonts w:ascii="Times New Roman" w:eastAsia="Times New Roman" w:hAnsi="Times New Roman" w:cs="Times New Roman"/>
          <w:b/>
          <w:bCs/>
          <w:i/>
          <w:iCs/>
          <w:color w:val="000000"/>
          <w:sz w:val="28"/>
          <w:szCs w:val="28"/>
        </w:rPr>
        <w:t>, tăng cường giáo dục tư tưởng chính trị, đạo đức, hình thành nhân cách, lối sống cho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 xml:space="preserve">Nâng cao chất lượng giảng dạy, học tập các môn khoa học Mác - Lê nin, tư tưởng Hồ Chí Minh  trong nhà trường. Tổ chức thi Olympic các môn học, nghiên cứu khoa học, hội thi </w:t>
      </w:r>
      <w:r w:rsidRPr="00302E7B">
        <w:rPr>
          <w:rFonts w:ascii="Times New Roman" w:eastAsia="Times New Roman" w:hAnsi="Times New Roman" w:cs="Times New Roman"/>
          <w:color w:val="000000"/>
          <w:sz w:val="28"/>
          <w:szCs w:val="28"/>
        </w:rPr>
        <w:lastRenderedPageBreak/>
        <w:t>nghiệp vụ sư phạm giỏi. Kịp thời tuyên dương, khen thưởng HSSV đạt thành tích cao trong học tập và nghiên cứu khoa học</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Tiếp tục triển khai có hiệu quả Quy chế đánh giá kết quả rèn luyện của HSSV. Xây dựng phiếu đánh giá kết quả rèn luyện của HSSV sát với tình hình cụ thể của nhà trường. Để quản lý HSSV chặt chẽ, đánh giá chính xác, công bằng và khách quan, cán bộ quản lý HSSV phối hợp chặt chẽ với nhiều bộ phận để nắm bắt các thông tin về việc chấp hành của HSSV. Tổ chức tốt hệ thống cán bộ lớp ngay từ đầu năm học, thường xuyên tập huấn bồi dưỡng nâng cao ý thức trách nhiệm của cán bộ lớp.</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Xây dựng quy định chặt chẽ về việc sử dụng thẻ HSSV, đeo thẻ trong nhà trường và giảng đường, xuất trình thẻ khi thi.</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FF0000"/>
          <w:sz w:val="28"/>
          <w:szCs w:val="28"/>
        </w:rPr>
        <w:t>Hai là</w:t>
      </w:r>
      <w:r w:rsidRPr="00302E7B">
        <w:rPr>
          <w:rFonts w:ascii="Times New Roman" w:eastAsia="Times New Roman" w:hAnsi="Times New Roman" w:cs="Times New Roman"/>
          <w:b/>
          <w:bCs/>
          <w:i/>
          <w:iCs/>
          <w:color w:val="000000"/>
          <w:sz w:val="28"/>
          <w:szCs w:val="28"/>
        </w:rPr>
        <w:t>, nâng cao hiệu quả công tác quản lý HSSV nội, ngoại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Nhà trường cần huy động mọi nguồn lực để nâng cấp, xây mới Kí túc xá HSSV đáp ứng nhu cầu nhà ở của các em. Nâng cao điều kiện phục vụ sinh hoạt về điện nước, đảm bảo an ninh trật tự nhằm thu hút HSSV vào ở trong khu Nội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Tổ chức các phong trào tự quản trong HSSV, hướng các hoạt động tự quản của HSSV vào phong trào thi đua làm xanh, sạch đẹp nhà trường, khu KTX, xây dựng phòng ở kiểu mẫu. Xây dựng quỹ khen thưởng trong khu KTX, đưa nội dung xây dựng phòng ở sạch đẹp vào nội dung đánh giá kết quả rèn luyện.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Đẩy mạnh các hoạt động văn hoá, văn nghệ, thể dục thể thao, lấy phong trào thể dục thể thao để tập hợp HSSV nội trú, hướng HSSV nội trú vào các hoạt động lành mạnh. Đổi mới hoạt động dịch vụ tại khu nội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Phòng Quản lý sinh viên cần phân công cán bộ phụ trách về công tác HSSV ngoại trú, phối hợp chặt chẽ với chính quyền và công an địa phương, các gia đình có HSSV ở trọ để cùng quản lý HSSV. Định kỳ tổ chức Hội nghị giao ban với chính quyền, địa phương nơi có HSSV ở ngoại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Thực hiện thống nhất việc lấy ý kiến  nhận xét về HSSV ngoại trú theo học kỳ, năm học của công an khu vực nơi HSSV ngoại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Triển khai các hoạt động nhằm tập hợp HSSV ngoại trú, giáo dục, tuyên truyền HSSV có biện pháp phòng ngừa, ngăn chặn các tệ nạn xã hội, xây dựng các tiêu chí để phân loại HSSV ngoại trú.</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i/>
          <w:iCs/>
          <w:color w:val="FF0000"/>
          <w:sz w:val="28"/>
          <w:szCs w:val="28"/>
        </w:rPr>
        <w:t xml:space="preserve">Ba là, </w:t>
      </w:r>
      <w:r w:rsidRPr="00302E7B">
        <w:rPr>
          <w:rFonts w:ascii="Times New Roman" w:eastAsia="Times New Roman" w:hAnsi="Times New Roman" w:cs="Times New Roman"/>
          <w:b/>
          <w:bCs/>
          <w:i/>
          <w:iCs/>
          <w:color w:val="000000"/>
          <w:sz w:val="28"/>
          <w:szCs w:val="28"/>
        </w:rPr>
        <w:t>xây dựng và triển khai các tiêu chí trong nhà trường, đảm bảo an ninh trật tự, an toàn và phòng chống các vấn đề tệ nạn xã hội.</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Xây dựng tiêu chí nhà trường đảm bảo an ninh trật tự và an toàn, nhà trường văn hoá theo tiêu chuẩn quy định của Bộ Giáo dục và Đào tạo.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Tăng cường tuyên truyền giáo dục pháp luật cho HSSV bằng nhiều hình thức: phát thanh tuyên truyền, phát tờ rơi, các cuộc thi tìm hiểu...</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Tiếp tục làm tốt công tác kiểm tra, gây dựng các phong trào giúp bạn, hòm thư tố giác các tệ nạn xã hội trong học đường.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lastRenderedPageBreak/>
        <w:t>Bốn là, tạo các điều kiện cần thiết để HSSV tham gia nghiên cứu khoa học, phát huy tính chủ động sáng tạo của tuổi trẻ.</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Khác với đào tạo ở phổ thông, chất lượng đào tạo ở bậc cao đẳng, đại học không chỉ phụ thuộc vào việc giảng dạy- học tập của thầy và trò trên giảng đường mà còn phụ thuộc vào việc hướng dẫn các sinh viên tự học, tự nghiên cứu, tham gia vào các hoạt động học thuật ngoại khoá. Việc tổ chức các phong trào học thuật nhằm thu hút HSSV tích cực học tập, nghiên cứu khoa học góp phần nâng cao chất lượng đào tạo của trường. Từ ý tưởng trên, trong công tác HSSV cần xây dựng các mô hình câu lạc bộ học thuật theo các chuyên ngành cho HSSV phù hợp với thực tế nhà trường.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3.2. Kiến nghị</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Bộ Giáo dục và đào tạo cần có văn bản kiến nghị với Bộ Nội vụ nghiên cứu ban hành quy định về tuyển dụng công chức là HSSV, cần quan tâm đến kết quả rèn luyện của HSSV. Bởi đây là kết quả phấn đấu trưởng thành của HSSV trên rất nhiều lĩnh vực hoạt động.</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FF0000"/>
          <w:sz w:val="28"/>
          <w:szCs w:val="28"/>
        </w:rPr>
        <w:t>Cần có sự điều chỉnh nội dung và khung điểm trong phiếu điểm rèn luyện HSSV cho phù hợp điều kiện từng nhà trường</w:t>
      </w:r>
      <w:r w:rsidRPr="00302E7B">
        <w:rPr>
          <w:rFonts w:ascii="Times New Roman" w:eastAsia="Times New Roman" w:hAnsi="Times New Roman" w:cs="Times New Roman"/>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Các công văn về chế độ của HSSV cũng như các văn bản chỉ đạo hiện nay cần được hệ thống hoá thành cuốn sổ tay công tác HSSV để thuận tiện cho việc đối chiếu kiểm tra, thực hiện.</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Nhà trường cần đầu tư thêm kinh phí cho các hoạt động của HSSV; nâng cấp, xây dựng mới khu nội trú đáp ứng yêu cầu sinh hoạt của HSSV.</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Phòng Quản lý sinh viên cần chủ động phối hợp với đoàn thanh niên thành lập các câu lạc bộ học thuật, câu lạc bộ văn nghệ, thể thao...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TÀI LIỆU THAM KHẢO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1. Báo cáo tổng kết chương trình công tác học sinh, sinh viên các trường Đại học, Cao đẳng và Trung cấp chuyên nghiệp giai đoạn 2009-2012, Hà Nội, T7 năm 2012.</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2. Quản lý Nhà nước về Giáo dục&amp;Đào tạo,Trường cán bộ quản lý giáo dục và đào tạo, Hà Nội 2005.</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3. Hướng dẫn thực hiện chế độ học bổng khuyến khích học tập và Trợ cấp xã hội đối với học sinh sinh viên các trường đào tạo công lập</w:t>
      </w:r>
      <w:r w:rsidRPr="00302E7B">
        <w:rPr>
          <w:rFonts w:ascii="Times New Roman" w:eastAsia="Times New Roman" w:hAnsi="Times New Roman" w:cs="Times New Roman"/>
          <w:i/>
          <w:iCs/>
          <w:color w:val="000000"/>
          <w:sz w:val="28"/>
          <w:szCs w:val="28"/>
        </w:rPr>
        <w:t> (Ban hành kèm theoThông tư liên tịch số </w:t>
      </w:r>
      <w:r w:rsidRPr="00302E7B">
        <w:rPr>
          <w:rFonts w:ascii="Times New Roman" w:eastAsia="Times New Roman" w:hAnsi="Times New Roman" w:cs="Times New Roman"/>
          <w:color w:val="000000"/>
          <w:sz w:val="28"/>
          <w:szCs w:val="28"/>
        </w:rPr>
        <w:t>53/1998/TTLT/BGDĐT-BTC-BLĐTBXH ngày 25 tháng 8 năm 1998).</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4. Quy chế học sinh, sinh viên các trường Đại học, Cao đẳng và Trung cấp chuyên nghiệp hệ chính quy </w:t>
      </w:r>
      <w:r w:rsidRPr="00302E7B">
        <w:rPr>
          <w:rFonts w:ascii="Times New Roman" w:eastAsia="Times New Roman" w:hAnsi="Times New Roman" w:cs="Times New Roman"/>
          <w:i/>
          <w:iCs/>
          <w:color w:val="000000"/>
          <w:sz w:val="28"/>
          <w:szCs w:val="28"/>
        </w:rPr>
        <w:t>(Ban hành kèm theo Quyết định số 42/2007/QĐ-BGDĐT ngày 13 tháng 8  năm 2007 của Bộ trưởng Bộ Giáo dục và Đào tạo</w:t>
      </w:r>
      <w:r w:rsidRPr="00302E7B">
        <w:rPr>
          <w:rFonts w:ascii="Times New Roman" w:eastAsia="Times New Roman" w:hAnsi="Times New Roman" w:cs="Times New Roman"/>
          <w:b/>
          <w:bCs/>
          <w:i/>
          <w:iCs/>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5. </w:t>
      </w:r>
      <w:r w:rsidRPr="00302E7B">
        <w:rPr>
          <w:rFonts w:ascii="Times New Roman" w:eastAsia="Times New Roman" w:hAnsi="Times New Roman" w:cs="Times New Roman"/>
          <w:b/>
          <w:bCs/>
          <w:color w:val="000000"/>
          <w:sz w:val="28"/>
          <w:szCs w:val="28"/>
        </w:rPr>
        <w:t>Quy định về công tác giáo dục phẩm chất chính trị, đạo đức, lối sống cho học sinh, sinh viên trong các đại học, học viện, trường đại học, cao đẳng và trung cấp chuyên nghiệp (</w:t>
      </w:r>
      <w:r w:rsidRPr="00302E7B">
        <w:rPr>
          <w:rFonts w:ascii="Times New Roman" w:eastAsia="Times New Roman" w:hAnsi="Times New Roman" w:cs="Times New Roman"/>
          <w:b/>
          <w:bCs/>
          <w:i/>
          <w:iCs/>
          <w:color w:val="000000"/>
          <w:sz w:val="28"/>
          <w:szCs w:val="28"/>
        </w:rPr>
        <w:t>Ban hành</w:t>
      </w:r>
      <w:r w:rsidRPr="00302E7B">
        <w:rPr>
          <w:rFonts w:ascii="Times New Roman" w:eastAsia="Times New Roman" w:hAnsi="Times New Roman" w:cs="Times New Roman"/>
          <w:b/>
          <w:bCs/>
          <w:color w:val="000000"/>
          <w:sz w:val="28"/>
          <w:szCs w:val="28"/>
        </w:rPr>
        <w:t> </w:t>
      </w:r>
      <w:r w:rsidRPr="00302E7B">
        <w:rPr>
          <w:rFonts w:ascii="Times New Roman" w:eastAsia="Times New Roman" w:hAnsi="Times New Roman" w:cs="Times New Roman"/>
          <w:b/>
          <w:bCs/>
          <w:i/>
          <w:iCs/>
          <w:color w:val="000000"/>
          <w:sz w:val="28"/>
          <w:szCs w:val="28"/>
        </w:rPr>
        <w:t>kèm theo Quyết định số 50/2007/QĐ-BGDĐT ngày 29 tháng 8 năm 2007 của Bộ trưởng Bộ Giáo dục và Đào tạo</w:t>
      </w:r>
      <w:r w:rsidRPr="00302E7B">
        <w:rPr>
          <w:rFonts w:ascii="Times New Roman" w:eastAsia="Times New Roman" w:hAnsi="Times New Roman" w:cs="Times New Roman"/>
          <w:b/>
          <w:bCs/>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lastRenderedPageBreak/>
        <w:t>6. Quy </w:t>
      </w:r>
      <w:r w:rsidRPr="00302E7B">
        <w:rPr>
          <w:rFonts w:ascii="Times New Roman" w:eastAsia="Times New Roman" w:hAnsi="Times New Roman" w:cs="Times New Roman"/>
          <w:color w:val="000000"/>
          <w:sz w:val="28"/>
          <w:szCs w:val="28"/>
        </w:rPr>
        <w:t>chế đánh giá kết quả rèn luyện của học sinh, sinh viên các cơ sở giáo dục đại học và trường trung cấp chuyên nghiệp hệ chính quy (</w:t>
      </w:r>
      <w:r w:rsidRPr="00302E7B">
        <w:rPr>
          <w:rFonts w:ascii="Times New Roman" w:eastAsia="Times New Roman" w:hAnsi="Times New Roman" w:cs="Times New Roman"/>
          <w:i/>
          <w:iCs/>
          <w:color w:val="000000"/>
          <w:sz w:val="28"/>
          <w:szCs w:val="28"/>
        </w:rPr>
        <w:t>Ban hành</w:t>
      </w:r>
      <w:r w:rsidRPr="00302E7B">
        <w:rPr>
          <w:rFonts w:ascii="Times New Roman" w:eastAsia="Times New Roman" w:hAnsi="Times New Roman" w:cs="Times New Roman"/>
          <w:color w:val="000000"/>
          <w:sz w:val="28"/>
          <w:szCs w:val="28"/>
        </w:rPr>
        <w:t> </w:t>
      </w:r>
      <w:r w:rsidRPr="00302E7B">
        <w:rPr>
          <w:rFonts w:ascii="Times New Roman" w:eastAsia="Times New Roman" w:hAnsi="Times New Roman" w:cs="Times New Roman"/>
          <w:i/>
          <w:iCs/>
          <w:color w:val="000000"/>
          <w:sz w:val="28"/>
          <w:szCs w:val="28"/>
        </w:rPr>
        <w:t>kèm theo Quyết định số 60/2007/QĐ</w:t>
      </w:r>
      <w:r w:rsidRPr="00302E7B">
        <w:rPr>
          <w:rFonts w:ascii="Times New Roman" w:eastAsia="Times New Roman" w:hAnsi="Times New Roman" w:cs="Times New Roman"/>
          <w:b/>
          <w:bCs/>
          <w:i/>
          <w:iCs/>
          <w:color w:val="000000"/>
          <w:sz w:val="28"/>
          <w:szCs w:val="28"/>
        </w:rPr>
        <w:t>-BGDĐT ngày 16 tháng 10 năm 2007 của Bộ trưởng Bộ Giáo dục và Đào tạo).</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b/>
          <w:bCs/>
          <w:color w:val="000000"/>
          <w:sz w:val="28"/>
          <w:szCs w:val="28"/>
        </w:rPr>
        <w:t>7. </w:t>
      </w:r>
      <w:r w:rsidRPr="00302E7B">
        <w:rPr>
          <w:rFonts w:ascii="Times New Roman" w:eastAsia="Times New Roman" w:hAnsi="Times New Roman" w:cs="Times New Roman"/>
          <w:color w:val="000000"/>
          <w:sz w:val="28"/>
          <w:szCs w:val="28"/>
        </w:rPr>
        <w:t>Quy chế Ngoại trú của học sinh, sinh viên các trường đại học, cao đẳng, trung cấp chuyên nghiệp hệ chính quy</w:t>
      </w:r>
      <w:r w:rsidRPr="00302E7B">
        <w:rPr>
          <w:rFonts w:ascii="Times New Roman" w:eastAsia="Times New Roman" w:hAnsi="Times New Roman" w:cs="Times New Roman"/>
          <w:i/>
          <w:iCs/>
          <w:color w:val="000000"/>
          <w:sz w:val="28"/>
          <w:szCs w:val="28"/>
        </w:rPr>
        <w:t> (Ban hành kèm theo Thông tư số 27/2009/TT-BGDĐT ngày 19 tháng 10 năm 2009 của Bộ trưởng Bộ Giáo dục và Đào tạo</w:t>
      </w:r>
      <w:r w:rsidRPr="00302E7B">
        <w:rPr>
          <w:rFonts w:ascii="Times New Roman" w:eastAsia="Times New Roman" w:hAnsi="Times New Roman" w:cs="Times New Roman"/>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8. Quy chế đánh giá kết quả rèn luyện của  người học được đào tạo trình độ Đại học hệ chính quy </w:t>
      </w:r>
      <w:r w:rsidRPr="00302E7B">
        <w:rPr>
          <w:rFonts w:ascii="Times New Roman" w:eastAsia="Times New Roman" w:hAnsi="Times New Roman" w:cs="Times New Roman"/>
          <w:i/>
          <w:iCs/>
          <w:color w:val="000000"/>
          <w:sz w:val="28"/>
          <w:szCs w:val="28"/>
        </w:rPr>
        <w:t>(Ban hành kèm theo Thông tư số 16/2015/TT-BGDĐT Ngày 12 tháng 8</w:t>
      </w:r>
      <w:r w:rsidRPr="00302E7B">
        <w:rPr>
          <w:rFonts w:ascii="Times New Roman" w:eastAsia="Times New Roman" w:hAnsi="Times New Roman" w:cs="Times New Roman"/>
          <w:color w:val="000000"/>
          <w:sz w:val="28"/>
          <w:szCs w:val="28"/>
        </w:rPr>
        <w:t> </w:t>
      </w:r>
      <w:r w:rsidRPr="00302E7B">
        <w:rPr>
          <w:rFonts w:ascii="Times New Roman" w:eastAsia="Times New Roman" w:hAnsi="Times New Roman" w:cs="Times New Roman"/>
          <w:i/>
          <w:iCs/>
          <w:color w:val="000000"/>
          <w:sz w:val="28"/>
          <w:szCs w:val="28"/>
        </w:rPr>
        <w:t>năm 2015 của Bộ trưởng Bộ Giáo dục và Đào tạo</w:t>
      </w:r>
      <w:r w:rsidRPr="00302E7B">
        <w:rPr>
          <w:rFonts w:ascii="Times New Roman" w:eastAsia="Times New Roman" w:hAnsi="Times New Roman" w:cs="Times New Roman"/>
          <w:color w:val="000000"/>
          <w:sz w:val="28"/>
          <w:szCs w:val="28"/>
        </w:rPr>
        <w:t>).</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color w:val="000000"/>
          <w:sz w:val="28"/>
          <w:szCs w:val="28"/>
        </w:rPr>
      </w:pPr>
      <w:r w:rsidRPr="00302E7B">
        <w:rPr>
          <w:rFonts w:ascii="Times New Roman" w:eastAsia="Times New Roman" w:hAnsi="Times New Roman" w:cs="Times New Roman"/>
          <w:color w:val="000000"/>
          <w:sz w:val="28"/>
          <w:szCs w:val="28"/>
        </w:rPr>
        <w:t>9. Văn kiện Hội nghị lần thứ II Ban chấp hành Trung ương Đảng khoá VIII, Nhà xuất bản Chính trị Quốc gia, Hà nội 1997.</w:t>
      </w:r>
    </w:p>
    <w:p w:rsidR="00823A4F" w:rsidRPr="00302E7B" w:rsidRDefault="00823A4F" w:rsidP="00302E7B">
      <w:pPr>
        <w:shd w:val="clear" w:color="auto" w:fill="FFFFFF"/>
        <w:spacing w:before="120" w:after="120" w:line="240" w:lineRule="auto"/>
        <w:jc w:val="both"/>
        <w:rPr>
          <w:rFonts w:ascii="Times New Roman" w:eastAsia="Times New Roman" w:hAnsi="Times New Roman" w:cs="Times New Roman"/>
          <w:bCs/>
          <w:color w:val="000000"/>
          <w:sz w:val="28"/>
          <w:szCs w:val="28"/>
        </w:rPr>
      </w:pPr>
      <w:r w:rsidRPr="00302E7B">
        <w:rPr>
          <w:rFonts w:ascii="Times New Roman" w:eastAsia="Times New Roman" w:hAnsi="Times New Roman" w:cs="Times New Roman"/>
          <w:color w:val="000000"/>
          <w:sz w:val="28"/>
          <w:szCs w:val="28"/>
        </w:rPr>
        <w:t>           </w:t>
      </w:r>
      <w:r w:rsidRPr="00302E7B">
        <w:rPr>
          <w:rFonts w:ascii="Times New Roman" w:eastAsia="Times New Roman" w:hAnsi="Times New Roman" w:cs="Times New Roman"/>
          <w:bCs/>
          <w:color w:val="000000"/>
          <w:sz w:val="28"/>
          <w:szCs w:val="28"/>
        </w:rPr>
        <w:t>ThS. Lê Thị Thu Hà - Trường Đại học Tân Trào (Theo Tạp chí Khoa học Đại học Tân Trào số 2)</w:t>
      </w:r>
      <w:r w:rsidR="00BA2186" w:rsidRPr="00302E7B">
        <w:rPr>
          <w:rFonts w:ascii="Times New Roman" w:eastAsia="Times New Roman" w:hAnsi="Times New Roman" w:cs="Times New Roman"/>
          <w:bCs/>
          <w:color w:val="000000"/>
          <w:sz w:val="28"/>
          <w:szCs w:val="28"/>
        </w:rPr>
        <w:t>./.</w:t>
      </w:r>
    </w:p>
    <w:p w:rsidR="00BA2186" w:rsidRPr="00302E7B" w:rsidRDefault="00BA2186" w:rsidP="00302E7B">
      <w:pPr>
        <w:shd w:val="clear" w:color="auto" w:fill="FFFFFF"/>
        <w:spacing w:before="120" w:after="120" w:line="240" w:lineRule="auto"/>
        <w:jc w:val="both"/>
        <w:rPr>
          <w:rFonts w:ascii="Times New Roman" w:eastAsia="Times New Roman" w:hAnsi="Times New Roman" w:cs="Times New Roman"/>
          <w:b/>
          <w:bCs/>
          <w:color w:val="000000"/>
          <w:sz w:val="28"/>
          <w:szCs w:val="28"/>
        </w:rPr>
      </w:pPr>
    </w:p>
    <w:p w:rsidR="006C6EA6" w:rsidRPr="00302E7B" w:rsidRDefault="00BA2186" w:rsidP="00302E7B">
      <w:pPr>
        <w:shd w:val="clear" w:color="auto" w:fill="FFFFFF"/>
        <w:spacing w:before="120" w:after="120" w:line="240" w:lineRule="auto"/>
        <w:jc w:val="center"/>
        <w:textAlignment w:val="baseline"/>
        <w:rPr>
          <w:rFonts w:ascii="Times New Roman" w:eastAsia="Times New Roman" w:hAnsi="Times New Roman" w:cs="Times New Roman"/>
          <w:b/>
          <w:color w:val="363636"/>
          <w:sz w:val="28"/>
          <w:szCs w:val="28"/>
          <w:bdr w:val="none" w:sz="0" w:space="0" w:color="auto" w:frame="1"/>
        </w:rPr>
      </w:pPr>
      <w:r w:rsidRPr="00302E7B">
        <w:rPr>
          <w:rFonts w:ascii="Times New Roman" w:eastAsia="Times New Roman" w:hAnsi="Times New Roman" w:cs="Times New Roman"/>
          <w:b/>
          <w:color w:val="363636"/>
          <w:sz w:val="28"/>
          <w:szCs w:val="28"/>
          <w:bdr w:val="none" w:sz="0" w:space="0" w:color="auto" w:frame="1"/>
        </w:rPr>
        <w:t xml:space="preserve">Đổi mới nâng cao hiệu quả công tác quản lý học viên các hệ học tại </w:t>
      </w:r>
    </w:p>
    <w:p w:rsidR="006C6EA6" w:rsidRPr="00302E7B" w:rsidRDefault="00BA2186" w:rsidP="00302E7B">
      <w:pPr>
        <w:shd w:val="clear" w:color="auto" w:fill="FFFFFF"/>
        <w:spacing w:before="120" w:after="120" w:line="240" w:lineRule="auto"/>
        <w:jc w:val="center"/>
        <w:textAlignment w:val="baseline"/>
        <w:rPr>
          <w:rFonts w:ascii="Times New Roman" w:eastAsia="Times New Roman" w:hAnsi="Times New Roman" w:cs="Times New Roman"/>
          <w:b/>
          <w:color w:val="363636"/>
          <w:sz w:val="28"/>
          <w:szCs w:val="28"/>
          <w:bdr w:val="none" w:sz="0" w:space="0" w:color="auto" w:frame="1"/>
        </w:rPr>
      </w:pPr>
      <w:r w:rsidRPr="00302E7B">
        <w:rPr>
          <w:rFonts w:ascii="Times New Roman" w:eastAsia="Times New Roman" w:hAnsi="Times New Roman" w:cs="Times New Roman"/>
          <w:b/>
          <w:color w:val="363636"/>
          <w:sz w:val="28"/>
          <w:szCs w:val="28"/>
          <w:bdr w:val="none" w:sz="0" w:space="0" w:color="auto" w:frame="1"/>
        </w:rPr>
        <w:t>Học viện Cảnh sát nhân dân đáp ứng yêu cầu học viện</w:t>
      </w:r>
    </w:p>
    <w:p w:rsidR="00BA2186" w:rsidRPr="00302E7B" w:rsidRDefault="00BA2186" w:rsidP="00302E7B">
      <w:pPr>
        <w:shd w:val="clear" w:color="auto" w:fill="FFFFFF"/>
        <w:spacing w:before="120" w:after="120" w:line="240" w:lineRule="auto"/>
        <w:jc w:val="center"/>
        <w:textAlignment w:val="baseline"/>
        <w:rPr>
          <w:rFonts w:ascii="Times New Roman" w:eastAsia="Times New Roman" w:hAnsi="Times New Roman" w:cs="Times New Roman"/>
          <w:b/>
          <w:color w:val="363636"/>
          <w:sz w:val="28"/>
          <w:szCs w:val="28"/>
        </w:rPr>
      </w:pPr>
      <w:r w:rsidRPr="00302E7B">
        <w:rPr>
          <w:rFonts w:ascii="Times New Roman" w:eastAsia="Times New Roman" w:hAnsi="Times New Roman" w:cs="Times New Roman"/>
          <w:b/>
          <w:color w:val="363636"/>
          <w:sz w:val="28"/>
          <w:szCs w:val="28"/>
          <w:bdr w:val="none" w:sz="0" w:space="0" w:color="auto" w:frame="1"/>
        </w:rPr>
        <w:t xml:space="preserve"> trở thành trường đại học đạt chuẩn quốc gia</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Công tác Quản lý, giáo dục học viên có vị trí vô cùng quan trọng trong sự nghiệp đào tạo của các trường trong khối sự nghiệp nói chung, của Học viện Cảnh sát nhân dân (CSND) nói riêng. Đây thực chất là công tác tổ chức cán bộ trong quá trình đào tạo nhằm hình thành và phát triển nhân cách người cán bộ Công an theo mục tiêu, yêu cầu nhiệm vụ trong đấu tranh bảo vệ an ninh chính trị và bảo đảm trật tự an toàn xã hội (TTATXH), nhằm giáo dục, học viên nâng cao ý thức tự giác, tự quản trong học tập, tu dưỡng và rèn luyện, nâng cao chất lượng và hiệu quả đào tạo, chuyển quá trình đào tạo thành quá trình tự đào tạo; xây dựng nếp sống văn hóa, sinh hoạt, học tập, lễ tiết tác phong chính quy theo điều lệnh Công an nhân dân (CAND).</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Để đáp ứng yêu cầu nhiệm vụ, đào tạo cán bộ cho ngành Công an, công tác quản lý học viên của Học viện Cảnh sát nhân dân trong 50 năm qua đã thu được những thành tích đáng tự hào. Học viện đã đào tạo cho ngành Công an, các cơ quan tư pháp đội ngũ cán bộ chất lượng cao đáp ứng yêu cầu nhiệm vụ bảo đảm an ninh chính trị và TTATXH; góp phần xứng đáng để Học viện được Đảng và Nhà nước 02 lần tặng thưởng danh hiệu Anh hùng lực lượng vũ trang nhân dân và được công nhận là cơ sở giáo dục trọng điểm của lực lượng CAND. Đặc biệt là 05 năm gần đây công tác giáo dục, quản lý học viên đã thu được kết quả nổi bật như sau:</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Hiệu quả chế độ tự quản, nếp sinh hoạt, tự giác, văn hóa ứng xử văn hóa trong học viên được nâng lên tầm cao mới;</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Kết quả học tập rèn luyện, số lượng đơn vị cá nhân đạt thành tích cao trong học tập rèn luyện với các danh hiệu thi đua năm học, toàn khóa tăng lên từng năm; kết quả nghiên cứu khoa học học viên ngày càng có chuyển biến tích cực;</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lastRenderedPageBreak/>
        <w:t>- Tỷ lệ học viên vi phạm bị kỷ luật giảm về số lượng và hình thức kỷ luật từ trên dưới 1,0% hàng năm xuống dưới 0,3%;</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Xuất phát từ kết quả đạt được trong công tác giáo dục quản lý Học viên, phòng Quản lý Học viên Học viện Cảnh sát nhân dân 05 năm liền ( 2012 - 2013; 2013 - 2014; 2014- 2015; 2015 - 2016; 2016 - 2017) đạt danh hiệu Đơn vị Quyết thắng, được Bộ trưởng Bộ Công an tặng cờ "Đơn vị dẫn đầu phong trào thi đua Vì an ninh tổ quốc cấp cơ sở".</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Tuy nhiên, so với yêu cầu, nhiệm vụ trong tình hình mới, công tác giáo dục, quản lý học viên hiện nay đang có những khó khăn, thách thức:</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pacing w:val="4"/>
          <w:sz w:val="28"/>
          <w:szCs w:val="28"/>
          <w:bdr w:val="none" w:sz="0" w:space="0" w:color="auto" w:frame="1"/>
        </w:rPr>
        <w:t>- Lưu lượng học viên tiếp tục tăng nhanh, trong khi điều kiện cơ sở vật chất đang trong quá trình hoàn thiện chưa kịp đáp ứng nhu cầu học tập và rèn luyện của học viên;</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Những hiện tượng tiêu cực ngoài xã hội tác động, ảnh hưởng đến chất lượng, hiệu quả công tác quản lý giáo dục học viên; đặc biệt học viên Học viện CSND là mục tiêu mà các đối tượng ngoài xã hội vì mục đích lợi nhuận lợi dụng dụ dỗ, lôi kéo vi phạm kỷ luật;</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Chủ trương kiện toàn bộ máy, tinh giảm biên chế ảnh hưởng đến công tác đào tạo, bồi dưỡng, bổ nhiệm cán bộ... Trong khi đó trình độ, chất lượng đội ngũ giáo viên chủ nhiệm chưa đáp ứng được yêu cầu, nhiệm vụ đề ra.</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Trong tình hình hiện nay, tình hình an ninh trật tự trong nước và thế giới có những diễn biến phức tạp, khó lường đòi hỏi lực lượng CAND nói chung, lực lượng Cảnh sát nhân dân nói riêng luôn chủ động học tập, rèn luyện nâng cao trình độ, phẩm chất cách mạng và năng lực công tác để đáp ứng nhiệm vụ đấu tranh phòng, chống tội phạm giữ vững ANQG và bảo đảm TTATXH.         </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Thực hiện Đề án "Quy hoạch tổng thể, nâng cao năng lực và chất lượng đào tạo của các cơ sở đào tạo, bồi dưỡng trong Công an nhân dân đến năm 2020" mà Thủ tướng Chính phủ đã phê duyệt, nhằm đổi mới, nâng cao hiệu quả công tác quản lý học viên các hệ học tại Học viện Cảnh sát nhân dân đáp ứng yêu cầu xây dựng Học viện trở thành cơ sở giáo dục Đại học trọng điểm và chuẩn quốc gia, Phòng quản lý học viên cần làm tốt những nội dung cơ bản sau đây:</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FF0000"/>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Một là</w:t>
      </w:r>
      <w:r w:rsidRPr="00302E7B">
        <w:rPr>
          <w:rFonts w:ascii="Times New Roman" w:eastAsia="Times New Roman" w:hAnsi="Times New Roman" w:cs="Times New Roman"/>
          <w:color w:val="FF0000"/>
          <w:sz w:val="28"/>
          <w:szCs w:val="28"/>
          <w:bdr w:val="none" w:sz="0" w:space="0" w:color="auto" w:frame="1"/>
        </w:rPr>
        <w:t xml:space="preserve">, làm tốt công tác giáo dục chính trị tư tưởng </w:t>
      </w:r>
      <w:r w:rsidRPr="00302E7B">
        <w:rPr>
          <w:rFonts w:ascii="Times New Roman" w:eastAsia="Times New Roman" w:hAnsi="Times New Roman" w:cs="Times New Roman"/>
          <w:color w:val="363636"/>
          <w:sz w:val="28"/>
          <w:szCs w:val="28"/>
          <w:bdr w:val="none" w:sz="0" w:space="0" w:color="auto" w:frame="1"/>
        </w:rPr>
        <w:t>để mỗi cán bộ, giáo viên và học viên nhận thức đúng vị thế Học viện Cảnh sát nhân dân là cơ sở giáo dục đại học trọng điểm và chuẩn quốc gia trong đào tạo, nghiên cứu khoa học chất lượng cao. Việc chấp hành điều lệnh nội vụ, xây dựng nề nếp, kỷ luật, kỷ cương phải đặc biệt được coi trọng và thực hiện nghiêm túc bảo đảm tính chính quy, tinh nhuệ, hiện đại trong quá trình đào tạo.</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Hai là,</w:t>
      </w:r>
      <w:r w:rsidRPr="00302E7B">
        <w:rPr>
          <w:rFonts w:ascii="Times New Roman" w:eastAsia="Times New Roman" w:hAnsi="Times New Roman" w:cs="Times New Roman"/>
          <w:color w:val="FF0000"/>
          <w:sz w:val="28"/>
          <w:szCs w:val="28"/>
          <w:bdr w:val="none" w:sz="0" w:space="0" w:color="auto" w:frame="1"/>
        </w:rPr>
        <w:t xml:space="preserve"> xây dựng mối quan hệ phối hợp giữa các đơn vị chức năng </w:t>
      </w:r>
      <w:r w:rsidRPr="00302E7B">
        <w:rPr>
          <w:rFonts w:ascii="Times New Roman" w:eastAsia="Times New Roman" w:hAnsi="Times New Roman" w:cs="Times New Roman"/>
          <w:color w:val="363636"/>
          <w:sz w:val="28"/>
          <w:szCs w:val="28"/>
          <w:bdr w:val="none" w:sz="0" w:space="0" w:color="auto" w:frame="1"/>
        </w:rPr>
        <w:t>trong Học viện và giữa Học viện với Công an các đơn vị, địa phương. Các đơn vị giảng dạy, các khoa chuyên ngành thực hiện tốt chức năng quản lý học viên của mình theo quy định về "Chế độ đồng chủ nhiệm", "Cố vấn học tập" và công tác giáo dục hướng nghiệp cho học viên.</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Bà là,</w:t>
      </w:r>
      <w:r w:rsidRPr="00302E7B">
        <w:rPr>
          <w:rFonts w:ascii="Times New Roman" w:eastAsia="Times New Roman" w:hAnsi="Times New Roman" w:cs="Times New Roman"/>
          <w:color w:val="FF0000"/>
          <w:sz w:val="28"/>
          <w:szCs w:val="28"/>
          <w:bdr w:val="none" w:sz="0" w:space="0" w:color="auto" w:frame="1"/>
        </w:rPr>
        <w:t xml:space="preserve"> tổ chức cho học viên tiếp tục triển khai thực hiện có hiệu quả các cuộc vận động </w:t>
      </w:r>
      <w:r w:rsidRPr="00302E7B">
        <w:rPr>
          <w:rFonts w:ascii="Times New Roman" w:eastAsia="Times New Roman" w:hAnsi="Times New Roman" w:cs="Times New Roman"/>
          <w:color w:val="363636"/>
          <w:sz w:val="28"/>
          <w:szCs w:val="28"/>
          <w:bdr w:val="none" w:sz="0" w:space="0" w:color="auto" w:frame="1"/>
        </w:rPr>
        <w:t xml:space="preserve">"Học tập và làm theo tấm gương đạo đức Hồ Chí Minh, Công an nhân dân vì nước quên thân vì dân phục vụ "; Chỉ thị 05/CT-BCA-X11, ngày 18 tháng 4 năm 2014 của Bộ trưởng Bộ Công an" Tiếp tục siết chặt kỷ cương, điều lệnh; xây dựng nếp sống văn hóa vì nhân dân phục vụ"; " Xây dựng phong cách người Công an nhân dân bản lĩnh, nhân văn vì nhân dân phục vụ". Thực </w:t>
      </w:r>
      <w:r w:rsidRPr="00302E7B">
        <w:rPr>
          <w:rFonts w:ascii="Times New Roman" w:eastAsia="Times New Roman" w:hAnsi="Times New Roman" w:cs="Times New Roman"/>
          <w:color w:val="363636"/>
          <w:sz w:val="28"/>
          <w:szCs w:val="28"/>
          <w:bdr w:val="none" w:sz="0" w:space="0" w:color="auto" w:frame="1"/>
        </w:rPr>
        <w:lastRenderedPageBreak/>
        <w:t>hiện nghiêm túc 6 điều Bác Hồ dạy, 05 lời thề, 10 điều kỷ luật của CAND và Điều lệnh CAND. Đổi mới hình thức triển khai đánh giá việc học tập các nội quy, quy chế với các hình thức đa dạng phong phú với hướng tự quản, tự giác; hình thành các ký năng thực hiện đạt hiệu quả cao.</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Bốn là,</w:t>
      </w:r>
      <w:r w:rsidRPr="00302E7B">
        <w:rPr>
          <w:rFonts w:ascii="Times New Roman" w:eastAsia="Times New Roman" w:hAnsi="Times New Roman" w:cs="Times New Roman"/>
          <w:color w:val="FF0000"/>
          <w:sz w:val="28"/>
          <w:szCs w:val="28"/>
          <w:bdr w:val="none" w:sz="0" w:space="0" w:color="auto" w:frame="1"/>
        </w:rPr>
        <w:t xml:space="preserve"> xây dựng đào tạo, bồi dưỡng được đội ngũ cán bộ quản lý </w:t>
      </w:r>
      <w:r w:rsidRPr="00302E7B">
        <w:rPr>
          <w:rFonts w:ascii="Times New Roman" w:eastAsia="Times New Roman" w:hAnsi="Times New Roman" w:cs="Times New Roman"/>
          <w:color w:val="363636"/>
          <w:sz w:val="28"/>
          <w:szCs w:val="28"/>
          <w:bdr w:val="none" w:sz="0" w:space="0" w:color="auto" w:frame="1"/>
        </w:rPr>
        <w:t>(đội ngũ giáo viên chủ nhiệm với những tiêu chí 05 biết" Biết mặt, biết tên, biết hoàn cảnh gia đình và mối quan hệ xã hội của học viên; biết lịch trình, kết quả học tập, rèn luyện của học viên; biết điều hành chỉ huy điều lệnh; biết tổ chức sinh hoạt lớp và tổ chức các phong trào học viên; biết sử dụng công nghệ thông tin trong quản lý". Xây dựng bồi dưỡng cán bộ lớp, cán bộ Đảng, đoàn, phụ nữ có phẩm chất đạo đức tốt, gương mẫu trí tuệ, trách nhiệm cao, có phương pháp làm việc quản lý khoa học đủ năng lực đảm bảo hoàn thành xuất sắc mọi nhiệm vụ được giao.</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Năm là,</w:t>
      </w:r>
      <w:r w:rsidRPr="00302E7B">
        <w:rPr>
          <w:rFonts w:ascii="Times New Roman" w:eastAsia="Times New Roman" w:hAnsi="Times New Roman" w:cs="Times New Roman"/>
          <w:color w:val="FF0000"/>
          <w:sz w:val="28"/>
          <w:szCs w:val="28"/>
          <w:bdr w:val="none" w:sz="0" w:space="0" w:color="auto" w:frame="1"/>
        </w:rPr>
        <w:t> duy trì thực hiện tốt chế độ tự quản, tự giác chấp hành</w:t>
      </w:r>
      <w:r w:rsidRPr="00302E7B">
        <w:rPr>
          <w:rFonts w:ascii="Times New Roman" w:eastAsia="Times New Roman" w:hAnsi="Times New Roman" w:cs="Times New Roman"/>
          <w:color w:val="363636"/>
          <w:sz w:val="28"/>
          <w:szCs w:val="28"/>
          <w:bdr w:val="none" w:sz="0" w:space="0" w:color="auto" w:frame="1"/>
        </w:rPr>
        <w:t xml:space="preserve"> các quy chế, quy định về học tập, rèn luyện của học viên đạt kết quả; thật sự biến quá trình đào tạo thành quá trình tự đào tạo với khẩu hiệu "03 không" (Không vi phạm quy chế thi; không uống rượu bia say; không tự ý ra ngoài cổng), "03 chủ động" (Chủ động chào theo điều lệnh, chủ động tự học, chủ động nhặt rác - làm vệ sinh môi trường). Tổ chức quản lý tốt các khâu thi, kiểm tra đánh giá kết quả học tập, rèn luyện của học viên; thường xuyên kiểm tra việc chấp hành điều lênh, tư thế tác phong, chế độ sinh hoạt, học tập của học viên để có biện pháp phòng ngừa, ngăn chặn hiệu quả vi phạm kỷ luật, vi phạm điều lệnh CAND.</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pacing w:val="2"/>
          <w:sz w:val="28"/>
          <w:szCs w:val="28"/>
          <w:bdr w:val="none" w:sz="0" w:space="0" w:color="auto" w:frame="1"/>
        </w:rPr>
        <w:t>- </w:t>
      </w:r>
      <w:r w:rsidRPr="00302E7B">
        <w:rPr>
          <w:rFonts w:ascii="Times New Roman" w:eastAsia="Times New Roman" w:hAnsi="Times New Roman" w:cs="Times New Roman"/>
          <w:i/>
          <w:iCs/>
          <w:color w:val="FF0000"/>
          <w:spacing w:val="2"/>
          <w:sz w:val="28"/>
          <w:szCs w:val="28"/>
          <w:bdr w:val="none" w:sz="0" w:space="0" w:color="auto" w:frame="1"/>
        </w:rPr>
        <w:t>Sáu là,</w:t>
      </w:r>
      <w:r w:rsidRPr="00302E7B">
        <w:rPr>
          <w:rFonts w:ascii="Times New Roman" w:eastAsia="Times New Roman" w:hAnsi="Times New Roman" w:cs="Times New Roman"/>
          <w:color w:val="FF0000"/>
          <w:spacing w:val="2"/>
          <w:sz w:val="28"/>
          <w:szCs w:val="28"/>
          <w:bdr w:val="none" w:sz="0" w:space="0" w:color="auto" w:frame="1"/>
        </w:rPr>
        <w:t xml:space="preserve"> thường xuyên kiểm tra chấn chỉnh việc chấp hành </w:t>
      </w:r>
      <w:r w:rsidRPr="00302E7B">
        <w:rPr>
          <w:rFonts w:ascii="Times New Roman" w:eastAsia="Times New Roman" w:hAnsi="Times New Roman" w:cs="Times New Roman"/>
          <w:color w:val="363636"/>
          <w:spacing w:val="2"/>
          <w:sz w:val="28"/>
          <w:szCs w:val="28"/>
          <w:bdr w:val="none" w:sz="0" w:space="0" w:color="auto" w:frame="1"/>
        </w:rPr>
        <w:t>điều lệnh, tư thế, lễ tiết, tác phong, giờ giấc, chế độ học tập, sinh hoạt của học viên các lớp học, thực hiện báo động, hành quân dã ngoại để nâng cao sức khỏe và tinh thần sẵn sàng chiến đấu; duy trì nề nếp xếp hàng lên lớp, ra bãi tập, thao trường, đi ăn cơm, tập thể dục buổi sáng, thể thao buổi chiều. Tổ chức bảo đảm chế độ học tập theo chương trình huấn luyện đầu khóa cho học viên bảo đảm việc chấp hành kỷ luật, kỷ cương một cách tự giác.</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Bảy là,</w:t>
      </w:r>
      <w:r w:rsidRPr="00302E7B">
        <w:rPr>
          <w:rFonts w:ascii="Times New Roman" w:eastAsia="Times New Roman" w:hAnsi="Times New Roman" w:cs="Times New Roman"/>
          <w:color w:val="FF0000"/>
          <w:sz w:val="28"/>
          <w:szCs w:val="28"/>
          <w:bdr w:val="none" w:sz="0" w:space="0" w:color="auto" w:frame="1"/>
        </w:rPr>
        <w:t> tổ chức học tập, tập huấn và thực hiện ứng xử văn hóa</w:t>
      </w:r>
      <w:r w:rsidRPr="00302E7B">
        <w:rPr>
          <w:rFonts w:ascii="Times New Roman" w:eastAsia="Times New Roman" w:hAnsi="Times New Roman" w:cs="Times New Roman"/>
          <w:color w:val="363636"/>
          <w:sz w:val="28"/>
          <w:szCs w:val="28"/>
          <w:bdr w:val="none" w:sz="0" w:space="0" w:color="auto" w:frame="1"/>
        </w:rPr>
        <w:t>, tiến tới xây dựng chương trình học tập, thực hiện việc ứng xử văn hóa thành một chương trình chuẩn đầu ra trong học viên Học viện CSND. Triển khai các câu lạc bộ, hoạt động ngoại khóa tập thể, các hoạt động văn hóa vui chơi lành mạnh ngoài giờ thu hút học viên tham gia.</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363636"/>
          <w:sz w:val="28"/>
          <w:szCs w:val="28"/>
          <w:bdr w:val="none" w:sz="0" w:space="0" w:color="auto" w:frame="1"/>
        </w:rPr>
        <w:t>Tám là,</w:t>
      </w:r>
      <w:r w:rsidRPr="00302E7B">
        <w:rPr>
          <w:rFonts w:ascii="Times New Roman" w:eastAsia="Times New Roman" w:hAnsi="Times New Roman" w:cs="Times New Roman"/>
          <w:color w:val="363636"/>
          <w:sz w:val="28"/>
          <w:szCs w:val="28"/>
          <w:bdr w:val="none" w:sz="0" w:space="0" w:color="auto" w:frame="1"/>
        </w:rPr>
        <w:t> thường xuyên tổ chức công tác giao ban công tác quản lý, giáo dục học viên để nắm tình hình và triển khai có hiệu quả công tác về nâng cao chất lượng quản lý, giáo dục học viên cuả Học viện CSND.</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363636"/>
          <w:sz w:val="28"/>
          <w:szCs w:val="28"/>
          <w:bdr w:val="none" w:sz="0" w:space="0" w:color="auto" w:frame="1"/>
        </w:rPr>
        <w:t>Chín là</w:t>
      </w:r>
      <w:r w:rsidRPr="00302E7B">
        <w:rPr>
          <w:rFonts w:ascii="Times New Roman" w:eastAsia="Times New Roman" w:hAnsi="Times New Roman" w:cs="Times New Roman"/>
          <w:color w:val="363636"/>
          <w:sz w:val="28"/>
          <w:szCs w:val="28"/>
          <w:bdr w:val="none" w:sz="0" w:space="0" w:color="auto" w:frame="1"/>
        </w:rPr>
        <w:t>, tổ chức hiệu quả hoạt động của hệ thống trực ban, trực chiến và bảo vệ; duy trì hoạt động của Đội Điều lệnh Phòng quản lý học viên.</w:t>
      </w:r>
    </w:p>
    <w:p w:rsidR="00BA2186" w:rsidRPr="00302E7B" w:rsidRDefault="00BA2186" w:rsidP="00302E7B">
      <w:pPr>
        <w:spacing w:before="120" w:after="120" w:line="240" w:lineRule="auto"/>
        <w:jc w:val="both"/>
        <w:textAlignment w:val="baseline"/>
        <w:rPr>
          <w:rFonts w:ascii="Times New Roman" w:eastAsia="Times New Roman" w:hAnsi="Times New Roman" w:cs="Times New Roman"/>
          <w:color w:val="363636"/>
          <w:sz w:val="28"/>
          <w:szCs w:val="28"/>
        </w:rPr>
      </w:pPr>
      <w:r w:rsidRPr="00302E7B">
        <w:rPr>
          <w:rFonts w:ascii="Times New Roman" w:eastAsia="Times New Roman" w:hAnsi="Times New Roman" w:cs="Times New Roman"/>
          <w:color w:val="363636"/>
          <w:sz w:val="28"/>
          <w:szCs w:val="28"/>
          <w:bdr w:val="none" w:sz="0" w:space="0" w:color="auto" w:frame="1"/>
        </w:rPr>
        <w:t>- </w:t>
      </w:r>
      <w:r w:rsidRPr="00302E7B">
        <w:rPr>
          <w:rFonts w:ascii="Times New Roman" w:eastAsia="Times New Roman" w:hAnsi="Times New Roman" w:cs="Times New Roman"/>
          <w:i/>
          <w:iCs/>
          <w:color w:val="FF0000"/>
          <w:sz w:val="28"/>
          <w:szCs w:val="28"/>
          <w:bdr w:val="none" w:sz="0" w:space="0" w:color="auto" w:frame="1"/>
        </w:rPr>
        <w:t>Mười là</w:t>
      </w:r>
      <w:r w:rsidRPr="00302E7B">
        <w:rPr>
          <w:rFonts w:ascii="Times New Roman" w:eastAsia="Times New Roman" w:hAnsi="Times New Roman" w:cs="Times New Roman"/>
          <w:color w:val="FF0000"/>
          <w:sz w:val="28"/>
          <w:szCs w:val="28"/>
          <w:bdr w:val="none" w:sz="0" w:space="0" w:color="auto" w:frame="1"/>
        </w:rPr>
        <w:t>, chủ động phối hợp với chính quyền địa phương</w:t>
      </w:r>
      <w:r w:rsidRPr="00302E7B">
        <w:rPr>
          <w:rFonts w:ascii="Times New Roman" w:eastAsia="Times New Roman" w:hAnsi="Times New Roman" w:cs="Times New Roman"/>
          <w:color w:val="363636"/>
          <w:sz w:val="28"/>
          <w:szCs w:val="28"/>
          <w:bdr w:val="none" w:sz="0" w:space="0" w:color="auto" w:frame="1"/>
        </w:rPr>
        <w:t xml:space="preserve">, Công an phường Cổ Nhuế 2, Công an quận Bắc Từ Liêm, Phòng PC45 Công an thành phố Hà Nội thường xuyên kiểm tra khu vực xung quanh Học viện bảo đảm an ninh trật tự, ngăn chặn kịp thời có hiệu quả các phần tử xấu lôi kéo học viên vi phạm kỷ luật; thường xuyên tổ chức Hội nghị giao ban công tác đảm bảo giữ gìn an ninh trật tự khu vực xung quanh Học viện để chủ động nắm tình hình, kịp thời phát hiện, ngăn chặn và xử lý học viên vị phạm kỷ luật; rà soát, phát hiện học viên có biểu </w:t>
      </w:r>
      <w:r w:rsidRPr="00302E7B">
        <w:rPr>
          <w:rFonts w:ascii="Times New Roman" w:eastAsia="Times New Roman" w:hAnsi="Times New Roman" w:cs="Times New Roman"/>
          <w:color w:val="363636"/>
          <w:sz w:val="28"/>
          <w:szCs w:val="28"/>
          <w:bdr w:val="none" w:sz="0" w:space="0" w:color="auto" w:frame="1"/>
        </w:rPr>
        <w:lastRenderedPageBreak/>
        <w:t>hiện vay nợ cắm quán, chơi lô đề, cá độ bóng đá... để đưa ra các giải pháp quản lý, giáo dục cho phù hợp.</w:t>
      </w:r>
    </w:p>
    <w:p w:rsidR="00BA2186" w:rsidRPr="00C95D0A" w:rsidRDefault="00BA2186" w:rsidP="00823A4F">
      <w:pPr>
        <w:shd w:val="clear" w:color="auto" w:fill="FFFFFF"/>
        <w:spacing w:after="150" w:line="300" w:lineRule="atLeast"/>
        <w:jc w:val="both"/>
        <w:rPr>
          <w:rFonts w:ascii="Times New Roman" w:eastAsia="Times New Roman" w:hAnsi="Times New Roman" w:cs="Times New Roman"/>
          <w:b/>
          <w:bCs/>
          <w:color w:val="000000"/>
          <w:sz w:val="28"/>
          <w:szCs w:val="28"/>
        </w:rPr>
      </w:pPr>
    </w:p>
    <w:p w:rsidR="00823A4F" w:rsidRPr="00C95D0A" w:rsidRDefault="00823A4F" w:rsidP="000A61DA">
      <w:pPr>
        <w:shd w:val="clear" w:color="auto" w:fill="FFFFFF"/>
        <w:spacing w:after="138" w:line="360" w:lineRule="atLeast"/>
        <w:jc w:val="right"/>
        <w:rPr>
          <w:rFonts w:ascii="Times New Roman" w:eastAsia="Times New Roman" w:hAnsi="Times New Roman" w:cs="Times New Roman"/>
          <w:color w:val="000000"/>
          <w:sz w:val="28"/>
          <w:szCs w:val="28"/>
        </w:rPr>
      </w:pPr>
    </w:p>
    <w:p w:rsidR="004B648D" w:rsidRPr="00C95D0A" w:rsidRDefault="004B648D">
      <w:pPr>
        <w:rPr>
          <w:rFonts w:ascii="Times New Roman" w:hAnsi="Times New Roman" w:cs="Times New Roman"/>
          <w:sz w:val="28"/>
          <w:szCs w:val="28"/>
        </w:rPr>
      </w:pPr>
    </w:p>
    <w:sectPr w:rsidR="004B648D" w:rsidRPr="00C95D0A" w:rsidSect="00C95D0A">
      <w:footerReference w:type="default" r:id="rId8"/>
      <w:pgSz w:w="12240" w:h="15840" w:code="1"/>
      <w:pgMar w:top="864" w:right="576" w:bottom="576" w:left="1008"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E7B" w:rsidRDefault="00302E7B" w:rsidP="00302E7B">
      <w:pPr>
        <w:spacing w:after="0" w:line="240" w:lineRule="auto"/>
      </w:pPr>
      <w:r>
        <w:separator/>
      </w:r>
    </w:p>
  </w:endnote>
  <w:endnote w:type="continuationSeparator" w:id="0">
    <w:p w:rsidR="00302E7B" w:rsidRDefault="00302E7B" w:rsidP="00302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054671"/>
      <w:docPartObj>
        <w:docPartGallery w:val="Page Numbers (Bottom of Page)"/>
        <w:docPartUnique/>
      </w:docPartObj>
    </w:sdtPr>
    <w:sdtEndPr>
      <w:rPr>
        <w:noProof/>
      </w:rPr>
    </w:sdtEndPr>
    <w:sdtContent>
      <w:p w:rsidR="00302E7B" w:rsidRDefault="00302E7B">
        <w:pPr>
          <w:pStyle w:val="Footer"/>
          <w:jc w:val="right"/>
        </w:pPr>
        <w:r>
          <w:fldChar w:fldCharType="begin"/>
        </w:r>
        <w:r>
          <w:instrText xml:space="preserve"> PAGE   \* MERGEFORMAT </w:instrText>
        </w:r>
        <w:r>
          <w:fldChar w:fldCharType="separate"/>
        </w:r>
        <w:r w:rsidR="008B0F1B">
          <w:rPr>
            <w:noProof/>
          </w:rPr>
          <w:t>1</w:t>
        </w:r>
        <w:r>
          <w:rPr>
            <w:noProof/>
          </w:rPr>
          <w:fldChar w:fldCharType="end"/>
        </w:r>
      </w:p>
    </w:sdtContent>
  </w:sdt>
  <w:p w:rsidR="00302E7B" w:rsidRDefault="00302E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E7B" w:rsidRDefault="00302E7B" w:rsidP="00302E7B">
      <w:pPr>
        <w:spacing w:after="0" w:line="240" w:lineRule="auto"/>
      </w:pPr>
      <w:r>
        <w:separator/>
      </w:r>
    </w:p>
  </w:footnote>
  <w:footnote w:type="continuationSeparator" w:id="0">
    <w:p w:rsidR="00302E7B" w:rsidRDefault="00302E7B" w:rsidP="00302E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968C4"/>
    <w:rsid w:val="000A61DA"/>
    <w:rsid w:val="00302E7B"/>
    <w:rsid w:val="0049426D"/>
    <w:rsid w:val="004B648D"/>
    <w:rsid w:val="00517BA7"/>
    <w:rsid w:val="005D39F0"/>
    <w:rsid w:val="006C6EA6"/>
    <w:rsid w:val="00823A4F"/>
    <w:rsid w:val="008B0F1B"/>
    <w:rsid w:val="009D0334"/>
    <w:rsid w:val="009D19DC"/>
    <w:rsid w:val="009D372E"/>
    <w:rsid w:val="00BA1E48"/>
    <w:rsid w:val="00BA2186"/>
    <w:rsid w:val="00C95D0A"/>
    <w:rsid w:val="00DC1DE7"/>
    <w:rsid w:val="00F62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02E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E7B"/>
  </w:style>
  <w:style w:type="paragraph" w:styleId="Footer">
    <w:name w:val="footer"/>
    <w:basedOn w:val="Normal"/>
    <w:link w:val="FooterChar"/>
    <w:uiPriority w:val="99"/>
    <w:unhideWhenUsed/>
    <w:rsid w:val="00302E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E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02E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E7B"/>
  </w:style>
  <w:style w:type="paragraph" w:styleId="Footer">
    <w:name w:val="footer"/>
    <w:basedOn w:val="Normal"/>
    <w:link w:val="FooterChar"/>
    <w:uiPriority w:val="99"/>
    <w:unhideWhenUsed/>
    <w:rsid w:val="00302E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14</Pages>
  <Words>5812</Words>
  <Characters>33131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Xuan Thien</cp:lastModifiedBy>
  <cp:revision>16</cp:revision>
  <dcterms:created xsi:type="dcterms:W3CDTF">2019-06-02T02:51:00Z</dcterms:created>
  <dcterms:modified xsi:type="dcterms:W3CDTF">2019-07-02T14:23:00Z</dcterms:modified>
</cp:coreProperties>
</file>